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974" w:rsidRPr="00243974" w:rsidRDefault="00762D95" w:rsidP="002439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egoe UI" w:eastAsia="Times New Roman" w:hAnsi="Segoe UI" w:cs="Segoe UI"/>
          <w:color w:val="6F6F6F"/>
          <w:sz w:val="30"/>
          <w:szCs w:val="30"/>
          <w:lang w:eastAsia="ru-RU"/>
        </w:rPr>
      </w:pPr>
      <w:r w:rsidRPr="00243974">
        <w:rPr>
          <w:rFonts w:ascii="Segoe UI" w:eastAsia="Times New Roman" w:hAnsi="Segoe UI" w:cs="Segoe UI"/>
          <w:color w:val="6F6F6F"/>
          <w:sz w:val="30"/>
          <w:szCs w:val="30"/>
          <w:lang w:eastAsia="ru-RU"/>
        </w:rPr>
        <w:fldChar w:fldCharType="begin"/>
      </w:r>
      <w:r w:rsidR="00243974" w:rsidRPr="00243974">
        <w:rPr>
          <w:rFonts w:ascii="Segoe UI" w:eastAsia="Times New Roman" w:hAnsi="Segoe UI" w:cs="Segoe UI"/>
          <w:color w:val="6F6F6F"/>
          <w:sz w:val="30"/>
          <w:szCs w:val="30"/>
          <w:lang w:eastAsia="ru-RU"/>
        </w:rPr>
        <w:instrText xml:space="preserve"> HYPERLINK "https://jissn.biomedcentral.com/articles/10.1186/s12970-020-00356-7" \l "article-info" </w:instrText>
      </w:r>
      <w:r w:rsidRPr="00243974">
        <w:rPr>
          <w:rFonts w:ascii="Segoe UI" w:eastAsia="Times New Roman" w:hAnsi="Segoe UI" w:cs="Segoe UI"/>
          <w:color w:val="6F6F6F"/>
          <w:sz w:val="30"/>
          <w:szCs w:val="30"/>
          <w:lang w:eastAsia="ru-RU"/>
        </w:rPr>
        <w:fldChar w:fldCharType="separate"/>
      </w:r>
      <w:r w:rsidR="00243974" w:rsidRPr="00243974">
        <w:rPr>
          <w:rFonts w:ascii="Segoe UI" w:eastAsia="Times New Roman" w:hAnsi="Segoe UI" w:cs="Segoe UI"/>
          <w:color w:val="0067C5"/>
          <w:sz w:val="30"/>
          <w:u w:val="single"/>
          <w:lang w:eastAsia="ru-RU"/>
        </w:rPr>
        <w:t>Опубликовано: 27 Мая 2020</w:t>
      </w:r>
      <w:r w:rsidRPr="00243974">
        <w:rPr>
          <w:rFonts w:ascii="Segoe UI" w:eastAsia="Times New Roman" w:hAnsi="Segoe UI" w:cs="Segoe UI"/>
          <w:color w:val="6F6F6F"/>
          <w:sz w:val="30"/>
          <w:szCs w:val="30"/>
          <w:lang w:eastAsia="ru-RU"/>
        </w:rPr>
        <w:fldChar w:fldCharType="end"/>
      </w:r>
    </w:p>
    <w:p w:rsidR="00243974" w:rsidRPr="00243974" w:rsidRDefault="00243974" w:rsidP="00243974">
      <w:pPr>
        <w:shd w:val="clear" w:color="auto" w:fill="FFFFFF"/>
        <w:spacing w:after="268" w:line="240" w:lineRule="auto"/>
        <w:outlineLvl w:val="0"/>
        <w:rPr>
          <w:rFonts w:ascii="Trebuchet MS" w:eastAsia="Times New Roman" w:hAnsi="Trebuchet MS" w:cs="Segoe UI"/>
          <w:b/>
          <w:bCs/>
          <w:color w:val="1B3051"/>
          <w:kern w:val="36"/>
          <w:sz w:val="48"/>
          <w:szCs w:val="48"/>
          <w:lang w:eastAsia="ru-RU"/>
        </w:rPr>
      </w:pPr>
      <w:r w:rsidRPr="00243974">
        <w:rPr>
          <w:rFonts w:ascii="Trebuchet MS" w:eastAsia="Times New Roman" w:hAnsi="Trebuchet MS" w:cs="Segoe UI"/>
          <w:b/>
          <w:bCs/>
          <w:color w:val="1B3051"/>
          <w:kern w:val="36"/>
          <w:sz w:val="48"/>
          <w:szCs w:val="48"/>
          <w:lang w:eastAsia="ru-RU"/>
        </w:rPr>
        <w:t>Влияние ежедневного потребления пива или этанола на физическую форму в ответ на высокоинтенсивную интервальную тренировочную программу. Исследование BEER-HIIT</w:t>
      </w:r>
    </w:p>
    <w:p w:rsidR="00243974" w:rsidRPr="00243974" w:rsidRDefault="00762D95" w:rsidP="002439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</w:pPr>
      <w:hyperlink r:id="rId5" w:anchor="auth-Cristina-Molina_Hidalgo" w:history="1"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>Кристина Молина-Идальго</w:t>
        </w:r>
      </w:hyperlink>
      <w:r w:rsidR="00243974" w:rsidRPr="00243974"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  <w:t>, </w:t>
      </w:r>
    </w:p>
    <w:p w:rsidR="00243974" w:rsidRPr="00243974" w:rsidRDefault="00762D95" w:rsidP="002439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</w:pPr>
      <w:hyperlink r:id="rId6" w:anchor="auth-Alejandro-De_la_O" w:history="1">
        <w:proofErr w:type="spellStart"/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>Alejandro</w:t>
        </w:r>
        <w:proofErr w:type="spellEnd"/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 xml:space="preserve"> </w:t>
        </w:r>
        <w:proofErr w:type="spellStart"/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>De-la-O</w:t>
        </w:r>
        <w:proofErr w:type="spellEnd"/>
      </w:hyperlink>
      <w:r w:rsidR="00243974" w:rsidRPr="00243974"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  <w:t>, </w:t>
      </w:r>
    </w:p>
    <w:p w:rsidR="00243974" w:rsidRPr="00243974" w:rsidRDefault="00762D95" w:rsidP="002439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</w:pPr>
      <w:hyperlink r:id="rId7" w:anchor="auth-Manuel-Dote_Montero" w:history="1">
        <w:proofErr w:type="spellStart"/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>Мануэль</w:t>
        </w:r>
        <w:proofErr w:type="spellEnd"/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 xml:space="preserve"> </w:t>
        </w:r>
        <w:proofErr w:type="spellStart"/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>Доте-Монтеро</w:t>
        </w:r>
        <w:proofErr w:type="spellEnd"/>
      </w:hyperlink>
      <w:r w:rsidR="00243974" w:rsidRPr="00243974"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  <w:t>, </w:t>
      </w:r>
    </w:p>
    <w:p w:rsidR="00243974" w:rsidRPr="00243974" w:rsidRDefault="00762D95" w:rsidP="002439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</w:pPr>
      <w:hyperlink r:id="rId8" w:anchor="auth-Francisco_J_-Amaro_Gahete" w:history="1"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 xml:space="preserve">Франсиско Дж. </w:t>
        </w:r>
        <w:proofErr w:type="spellStart"/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>Амаро-Гахете</w:t>
        </w:r>
        <w:proofErr w:type="spellEnd"/>
      </w:hyperlink>
      <w:r w:rsidR="00243974" w:rsidRPr="00243974"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  <w:t> &amp; </w:t>
      </w:r>
    </w:p>
    <w:p w:rsidR="00243974" w:rsidRPr="00243974" w:rsidRDefault="00762D95" w:rsidP="002439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</w:pPr>
      <w:hyperlink r:id="rId9" w:anchor="auth-Manuel_J_-Castillo" w:history="1">
        <w:proofErr w:type="spellStart"/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>Мануэль</w:t>
        </w:r>
        <w:proofErr w:type="spellEnd"/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 xml:space="preserve"> Дж. </w:t>
        </w:r>
        <w:proofErr w:type="spellStart"/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>Кастильо</w:t>
        </w:r>
        <w:proofErr w:type="spellEnd"/>
      </w:hyperlink>
      <w:r w:rsidR="00243974" w:rsidRPr="00243974"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  <w:t> </w:t>
      </w:r>
    </w:p>
    <w:p w:rsidR="00243974" w:rsidRPr="00243974" w:rsidRDefault="00762D95" w:rsidP="0024397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</w:pPr>
      <w:hyperlink r:id="rId10" w:history="1">
        <w:r w:rsidR="00243974" w:rsidRPr="00243974">
          <w:rPr>
            <w:rFonts w:ascii="Segoe UI" w:eastAsia="Times New Roman" w:hAnsi="Segoe UI" w:cs="Segoe UI"/>
            <w:i/>
            <w:iCs/>
            <w:color w:val="004B83"/>
            <w:sz w:val="30"/>
            <w:u w:val="single"/>
            <w:lang w:eastAsia="ru-RU"/>
          </w:rPr>
          <w:t>Журнал Международного общества спортивного питания</w:t>
        </w:r>
      </w:hyperlink>
      <w:r w:rsidR="00243974" w:rsidRPr="00243974"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  <w:t> </w:t>
      </w:r>
      <w:r w:rsidR="00243974" w:rsidRPr="00243974">
        <w:rPr>
          <w:rFonts w:ascii="Segoe UI" w:eastAsia="Times New Roman" w:hAnsi="Segoe UI" w:cs="Segoe UI"/>
          <w:b/>
          <w:bCs/>
          <w:color w:val="333333"/>
          <w:sz w:val="30"/>
          <w:lang w:eastAsia="ru-RU"/>
        </w:rPr>
        <w:t>том</w:t>
      </w:r>
      <w:r w:rsidR="00243974" w:rsidRPr="00243974">
        <w:rPr>
          <w:rFonts w:ascii="Segoe UI" w:eastAsia="Times New Roman" w:hAnsi="Segoe UI" w:cs="Segoe UI"/>
          <w:b/>
          <w:bCs/>
          <w:color w:val="333333"/>
          <w:sz w:val="30"/>
          <w:szCs w:val="30"/>
          <w:lang w:eastAsia="ru-RU"/>
        </w:rPr>
        <w:t>17</w:t>
      </w:r>
      <w:r w:rsidR="00243974" w:rsidRPr="00243974"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  <w:t>, номер статьи: 29 (2020) </w:t>
      </w:r>
      <w:hyperlink r:id="rId11" w:anchor="citeas" w:history="1">
        <w:r w:rsidR="00243974" w:rsidRPr="00243974">
          <w:rPr>
            <w:rFonts w:ascii="Segoe UI" w:eastAsia="Times New Roman" w:hAnsi="Segoe UI" w:cs="Segoe UI"/>
            <w:color w:val="004B83"/>
            <w:sz w:val="30"/>
            <w:u w:val="single"/>
            <w:lang w:eastAsia="ru-RU"/>
          </w:rPr>
          <w:t>Процитируйте эту статью</w:t>
        </w:r>
      </w:hyperlink>
    </w:p>
    <w:p w:rsidR="00243974" w:rsidRPr="00243974" w:rsidRDefault="00243974" w:rsidP="00243974">
      <w:pPr>
        <w:numPr>
          <w:ilvl w:val="0"/>
          <w:numId w:val="3"/>
        </w:numPr>
        <w:pBdr>
          <w:right w:val="single" w:sz="6" w:space="0" w:color="6F6F6F"/>
        </w:pBdr>
        <w:shd w:val="clear" w:color="auto" w:fill="FFFFFF"/>
        <w:spacing w:after="0" w:line="240" w:lineRule="auto"/>
        <w:ind w:left="0" w:right="134"/>
        <w:rPr>
          <w:rFonts w:ascii="Segoe UI" w:eastAsia="Times New Roman" w:hAnsi="Segoe UI" w:cs="Segoe UI"/>
          <w:b/>
          <w:bCs/>
          <w:color w:val="333333"/>
          <w:sz w:val="30"/>
          <w:szCs w:val="30"/>
          <w:lang w:eastAsia="ru-RU"/>
        </w:rPr>
      </w:pPr>
      <w:r w:rsidRPr="00243974">
        <w:rPr>
          <w:rFonts w:ascii="Segoe UI" w:eastAsia="Times New Roman" w:hAnsi="Segoe UI" w:cs="Segoe UI"/>
          <w:b/>
          <w:bCs/>
          <w:color w:val="333333"/>
          <w:sz w:val="30"/>
          <w:szCs w:val="30"/>
          <w:lang w:eastAsia="ru-RU"/>
        </w:rPr>
        <w:t>9629 </w:t>
      </w:r>
      <w:r w:rsidRPr="00243974">
        <w:rPr>
          <w:rFonts w:ascii="Segoe UI" w:eastAsia="Times New Roman" w:hAnsi="Segoe UI" w:cs="Segoe UI"/>
          <w:color w:val="626262"/>
          <w:sz w:val="30"/>
          <w:lang w:eastAsia="ru-RU"/>
        </w:rPr>
        <w:t>доступов</w:t>
      </w:r>
    </w:p>
    <w:p w:rsidR="00243974" w:rsidRPr="00243974" w:rsidRDefault="00243974" w:rsidP="00243974">
      <w:pPr>
        <w:numPr>
          <w:ilvl w:val="0"/>
          <w:numId w:val="3"/>
        </w:numPr>
        <w:pBdr>
          <w:right w:val="single" w:sz="6" w:space="0" w:color="6F6F6F"/>
        </w:pBdr>
        <w:shd w:val="clear" w:color="auto" w:fill="FFFFFF"/>
        <w:spacing w:after="0" w:line="240" w:lineRule="auto"/>
        <w:ind w:left="0" w:right="134"/>
        <w:rPr>
          <w:rFonts w:ascii="Segoe UI" w:eastAsia="Times New Roman" w:hAnsi="Segoe UI" w:cs="Segoe UI"/>
          <w:b/>
          <w:bCs/>
          <w:color w:val="333333"/>
          <w:sz w:val="30"/>
          <w:szCs w:val="30"/>
          <w:lang w:eastAsia="ru-RU"/>
        </w:rPr>
      </w:pPr>
      <w:r w:rsidRPr="00243974">
        <w:rPr>
          <w:rFonts w:ascii="Segoe UI" w:eastAsia="Times New Roman" w:hAnsi="Segoe UI" w:cs="Segoe UI"/>
          <w:b/>
          <w:bCs/>
          <w:color w:val="333333"/>
          <w:sz w:val="30"/>
          <w:szCs w:val="30"/>
          <w:lang w:eastAsia="ru-RU"/>
        </w:rPr>
        <w:t>78 </w:t>
      </w:r>
      <w:proofErr w:type="spellStart"/>
      <w:r w:rsidRPr="00243974">
        <w:rPr>
          <w:rFonts w:ascii="Segoe UI" w:eastAsia="Times New Roman" w:hAnsi="Segoe UI" w:cs="Segoe UI"/>
          <w:color w:val="626262"/>
          <w:sz w:val="30"/>
          <w:lang w:eastAsia="ru-RU"/>
        </w:rPr>
        <w:t>Альтметрика</w:t>
      </w:r>
      <w:proofErr w:type="spellEnd"/>
    </w:p>
    <w:p w:rsidR="00243974" w:rsidRPr="00243974" w:rsidRDefault="00762D95" w:rsidP="00243974">
      <w:pPr>
        <w:numPr>
          <w:ilvl w:val="0"/>
          <w:numId w:val="3"/>
        </w:numPr>
        <w:shd w:val="clear" w:color="auto" w:fill="FFFFFF"/>
        <w:spacing w:line="240" w:lineRule="auto"/>
        <w:ind w:left="0" w:right="134"/>
        <w:rPr>
          <w:rFonts w:ascii="Segoe UI" w:eastAsia="Times New Roman" w:hAnsi="Segoe UI" w:cs="Segoe UI"/>
          <w:color w:val="333333"/>
          <w:sz w:val="30"/>
          <w:szCs w:val="30"/>
          <w:lang w:eastAsia="ru-RU"/>
        </w:rPr>
      </w:pPr>
      <w:hyperlink r:id="rId12" w:history="1">
        <w:r w:rsidR="00243974" w:rsidRPr="00243974">
          <w:rPr>
            <w:rFonts w:ascii="Segoe UI" w:eastAsia="Times New Roman" w:hAnsi="Segoe UI" w:cs="Segoe UI"/>
            <w:color w:val="004B83"/>
            <w:sz w:val="30"/>
            <w:lang w:eastAsia="ru-RU"/>
          </w:rPr>
          <w:t>Сведения о метриках</w:t>
        </w:r>
      </w:hyperlink>
    </w:p>
    <w:p w:rsidR="00243974" w:rsidRPr="00243974" w:rsidRDefault="00243974" w:rsidP="00243974">
      <w:pPr>
        <w:pBdr>
          <w:bottom w:val="single" w:sz="12" w:space="7" w:color="D5D5D5"/>
        </w:pBd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color w:val="1B3051"/>
          <w:sz w:val="36"/>
          <w:szCs w:val="36"/>
          <w:lang w:eastAsia="ru-RU"/>
        </w:rPr>
      </w:pPr>
      <w:r w:rsidRPr="00243974">
        <w:rPr>
          <w:rFonts w:ascii="Trebuchet MS" w:eastAsia="Times New Roman" w:hAnsi="Trebuchet MS" w:cs="Times New Roman"/>
          <w:b/>
          <w:bCs/>
          <w:color w:val="1B3051"/>
          <w:sz w:val="36"/>
          <w:szCs w:val="36"/>
          <w:lang w:eastAsia="ru-RU"/>
        </w:rPr>
        <w:t>Абстрактный</w:t>
      </w:r>
    </w:p>
    <w:p w:rsidR="00243974" w:rsidRPr="00977D5F" w:rsidRDefault="00243974" w:rsidP="00243974">
      <w:pPr>
        <w:spacing w:after="134" w:line="240" w:lineRule="auto"/>
        <w:outlineLvl w:val="2"/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</w:pPr>
      <w:r w:rsidRPr="00977D5F"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  <w:t>Фон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Высокоинтенсивная интервальная тренировка (HIIT) является эффективным подходом к улучшению физической формы, но употребление пива, которое является регулярной практикой для многих физически активных людей, может помешать этим эффектам. Целью данного исследования было изучение влияния 10-недельной (2 дня в неделю) программы HIIT на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кардиореспираторную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подготовленность, мышечную силу и силовые параметры, а также оценка возможного влияния на них умеренного потребления пива (по крайней мере, с понедельника по пятницу) или его алкогольного эквивалента.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Методы: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молодые (24 ± 6 лет) здоровые взрослые (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= 73, 35 женщин) были распределены на пять групп. Четыре группы участвовали в программе вмешательства HIIT, в то время как пятая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группа была контрольной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нетренировочной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группой (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= 15). Участники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тренинговых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групп выбирали, что они </w:t>
      </w:r>
      <w:proofErr w:type="spellStart"/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предпочитают-алкоголь</w:t>
      </w:r>
      <w:proofErr w:type="spellEnd"/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или безалкогольные напитки. Те, кто выбирал алкоголь, были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рандомизированы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либо на пиво, либо на потребление этанола: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 Т-пивная группа (алкогольное пиво, 5,4%; 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= 13) или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 Т-этанол (газированная вода с водкой, 5,4%; 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= 14). Те, кто выбирал безалкогольный прием, были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рандомизированы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iii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 </w:t>
      </w:r>
      <w:proofErr w:type="spellStart"/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Т-водную</w:t>
      </w:r>
      <w:proofErr w:type="spellEnd"/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группу (газированная вода, 0,0%; 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= 16) или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iv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 Т-0,0 пивную группу (безалкогольное пиво, 0,0%; 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= 15). Мужчины проглотили 330 мл напитка на обед и 330 мл на ужин; женщины проглотили 330 мл на ужин. До и после вмешательства измеряли максимальное поглощение кислорода в абсолютном и относительном выражении (VO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max), максимальную частоту сердечных сокращений, общую продолжительность теста, силу захвата руки и четыре типа вертикальных прыжков.</w:t>
      </w:r>
    </w:p>
    <w:p w:rsidR="00243974" w:rsidRPr="00977D5F" w:rsidRDefault="00243974" w:rsidP="00243974">
      <w:pPr>
        <w:spacing w:after="134" w:line="240" w:lineRule="auto"/>
        <w:outlineLvl w:val="2"/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</w:pPr>
      <w:r w:rsidRPr="00977D5F"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  <w:t>Результаты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HIIT индуцировал значительное улучшение абсолютных и относительных значений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max, а также общей продолжительности теста (все 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p</w:t>
      </w:r>
      <w:proofErr w:type="spellEnd"/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Н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а эти положительные эффекты не влияло регулярное употребление пива или алкоголя. Никаких изменений в вертикальных прыжках не произошло ни в одной из групп.</w:t>
      </w:r>
    </w:p>
    <w:p w:rsidR="00243974" w:rsidRPr="00977D5F" w:rsidRDefault="00243974" w:rsidP="00243974">
      <w:pPr>
        <w:spacing w:after="134" w:line="240" w:lineRule="auto"/>
        <w:outlineLvl w:val="2"/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</w:pPr>
      <w:r w:rsidRPr="00977D5F"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  <w:t>Выводы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Умеренное потребление пива или алкоголя не смягчает положительное влияние 10-недельного HIIT на физическую форму у молодых здоровых взрослых.</w:t>
      </w:r>
    </w:p>
    <w:p w:rsidR="00243974" w:rsidRPr="00977D5F" w:rsidRDefault="00243974" w:rsidP="00243974">
      <w:pPr>
        <w:spacing w:after="134" w:line="240" w:lineRule="auto"/>
        <w:outlineLvl w:val="2"/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</w:pPr>
      <w:r w:rsidRPr="00977D5F"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  <w:t>Пробная Регистрация</w:t>
      </w:r>
    </w:p>
    <w:p w:rsidR="00243974" w:rsidRPr="00977D5F" w:rsidRDefault="00762D95" w:rsidP="00243974">
      <w:pPr>
        <w:spacing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13" w:history="1">
        <w:r w:rsidR="00243974"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ClinicalTrials.gov</w:t>
        </w:r>
      </w:hyperlink>
      <w:r w:rsidR="00243974"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ID: </w:t>
      </w:r>
      <w:hyperlink r:id="rId14" w:history="1">
        <w:r w:rsidR="00243974"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NCT03660579</w:t>
        </w:r>
      </w:hyperlink>
      <w:r w:rsidR="00243974"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. </w:t>
      </w:r>
      <w:proofErr w:type="gramStart"/>
      <w:r w:rsidR="00243974"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Зарегистрирован</w:t>
      </w:r>
      <w:proofErr w:type="gramEnd"/>
      <w:r w:rsidR="00243974"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20 Сентября 2018 Года. Ретроспективно зарегистрирован.</w:t>
      </w:r>
    </w:p>
    <w:p w:rsidR="00243974" w:rsidRPr="00977D5F" w:rsidRDefault="00243974" w:rsidP="00243974">
      <w:pPr>
        <w:pBdr>
          <w:bottom w:val="single" w:sz="12" w:space="7" w:color="D5D5D5"/>
        </w:pBd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color w:val="1B3051"/>
          <w:sz w:val="32"/>
          <w:szCs w:val="32"/>
          <w:lang w:eastAsia="ru-RU"/>
        </w:rPr>
      </w:pPr>
      <w:r w:rsidRPr="00977D5F">
        <w:rPr>
          <w:rFonts w:ascii="Trebuchet MS" w:eastAsia="Times New Roman" w:hAnsi="Trebuchet MS" w:cs="Times New Roman"/>
          <w:b/>
          <w:bCs/>
          <w:color w:val="1B3051"/>
          <w:sz w:val="32"/>
          <w:szCs w:val="32"/>
          <w:lang w:eastAsia="ru-RU"/>
        </w:rPr>
        <w:t>Фон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Физическая подготовленность-это способность выполнять физическую нагрузку и/или физические упражнения с использованием большинства структур тела [</w:t>
      </w:r>
      <w:hyperlink r:id="rId15" w:anchor="ref-CR1" w:tooltip="Кастильо-Гарсон М. Дж., Руис-младший, Ортега Ф. Б., Гутьеррес А. антивозрастная терапия через повышение физической формы. Старение: Клин. Interv; 2006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16" w:anchor="ref-CR2" w:tooltip="Адамс В., Линке А. Влияние физических упражнений на сердечно - сосудистые заболевания и риск. Biochim Biophys Acta Mol basis Dis. 1865;2019:728-34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 Физическая подготовка объединяет несколько компонентов [</w:t>
      </w:r>
      <w:hyperlink r:id="rId17" w:anchor="ref-CR1" w:tooltip="Кастильо-Гарсон М. Дж., Руис-младший, Ортега Ф. Б., Гутьеррес А. антивозрастная терапия через повышение физической формы. Старение: Клин. Interv; 2006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], таких как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кардиореспираторная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подготовленность и мышечная сила, которые широко признаны мощными маркерами спортивных результатов, связанных со здоровьем исходов и релевантных детерминант текущего и будущего состояния здоровья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,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также важными предикторами смертности от всех причин [</w:t>
      </w:r>
      <w:hyperlink r:id="rId18" w:anchor="ref-CR1" w:tooltip="Castillo-Garzón MJ, Ruiz JR, Ortega FB, Gutiérrez A. антивозрастная терапия через повышение физической формы. Старение: Clin. Interv; 2006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19" w:anchor="ref-CR3" w:tooltip="Evaristo S, Moreira C, Lopes L, Oliveira A, Abreu S, Agostinis-Sobrinho C, Oliveira-Santos J, Póvoas S, Santos R, Mota J. Мышечная тренированность и кардиореспираторная тренированность связаны с качеством жизни, связанным со здоровьем: результаты исследования 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20" w:anchor="ref-CR4" w:tooltip="Hurst C, Scott JPR, Weston KL, Weston M. высокоинтенсивная интервальная тренировка: потенциальная контрмера упражнений во время полета человека в космос. Фронт Физиол. 2019;10:581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4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]. 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Появляются все новые свидетельства того, что высокая интенсивность интервал подготовки (HIIT), который включает повторные приступы (&lt; 45 с), интенсивной физической нагрузки (85-95% максимальной частоты сердечных сокращений) чередуются с периодами отдыха или снижения интенсивности активного восстановления, является эффективной стратегией, чтобы сделать важные сдвиги в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[</w:t>
      </w:r>
      <w:hyperlink r:id="rId21" w:anchor="ref-CR5" w:tooltip="Bacon AP, Carter RE, Ogle EA, Joyner MJ. VO2max trainability and high intensity interval training in humans: a meta-analysis. PLoS One. 2013;8:e73182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22" w:anchor="ref-CR6" w:tooltip="Sloth M, Sloth D, Overgaard K, Dalgas U. влияние спринтерской интервальной тренировки на VO 2max и эффективность аэробных упражнений: систематический обзор и метаанализ. Scand J Med Sci Sports. 2013;23:e341–52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6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23" w:anchor="ref-CR7" w:tooltip="Уэстон м, Тейлор КЛ, Баттерхэм АМ, Хопкинс РГ. Влияние низкообъемных высокоинтенсивных интервальных тренировок (HIT) на физическую форму взрослых: метаанализ контролируемых и неконтролируемых исследований. Sports Med. 2014;44:1005-17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7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24" w:anchor="ref-CR8" w:tooltip="Миланович З., спорыш г., Уэстон М. эффективность высокоинтенсивной интервальной тренировки (HIT) и непрерывной тренировки на выносливость для улучшения VO2max: систематический обзор и метаанализ контролируемых исследований. Sports Med. 2015;45:1469-81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8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proofErr w:type="gramEnd"/>
      <w:r w:rsidR="00762D95"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fldChar w:fldCharType="begin"/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instrText xml:space="preserve"> HYPERLINK "https://jissn.biomedcentral.com/articles/10.1186/s12970-020-00356-7" \l "ref-CR9" \o "Херст к, Уэстон КЛ, Уэстон М. Влияние 12 недель комбинированной высокоинтенсивной интервальной тренировки верхней и нижней части тела на мышечную и кардиореспираторную работоспособность у пожилых людей. Aging Clin Exp Res. 2019;31:661." </w:instrText>
      </w:r>
      <w:r w:rsidR="00762D95"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fldChar w:fldCharType="separate"/>
      </w:r>
      <w:r w:rsidRPr="00977D5F">
        <w:rPr>
          <w:rFonts w:ascii="Times New Roman" w:eastAsia="Times New Roman" w:hAnsi="Times New Roman" w:cs="Times New Roman"/>
          <w:color w:val="004B83"/>
          <w:sz w:val="32"/>
          <w:szCs w:val="32"/>
          <w:u w:val="single"/>
          <w:lang w:eastAsia="ru-RU"/>
        </w:rPr>
        <w:t>9</w:t>
      </w:r>
      <w:r w:rsidR="00762D95"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fldChar w:fldCharType="end"/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 и мышечной силы [</w:t>
      </w:r>
      <w:hyperlink r:id="rId25" w:anchor="ref-CR5" w:tooltip="Bacon AP, Carter RE, Ogle EA, Joyner MJ. VO2max обучаемость и высокоинтенсивная интервальная тренировка у людей: метаанализ. PLoS One. 2013;8:e73182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26" w:anchor="ref-CR6" w:tooltip="Sloth M, Sloth D, Overgaard K, Dalgas U. влияние спринтерской интервальной тренировки на VO 2max и эффективность аэробных упражнений: систематический обзор и метаанализ. Scand J Med Sci Sports. 2013;23:e341–52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6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27" w:anchor="ref-CR7" w:tooltip="Уэстон м, Тейлор КЛ, Баттерхэм АМ, Хопкинс РГ. Влияние низкообъемных высокоинтенсивных интервальных тренировок (HIT) на физическую форму взрослых: метаанализ контролируемых и неконтролируемых исследований. Sports Med. 2014;44:1005-17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7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28" w:anchor="ref-CR8" w:tooltip="Миланович З., спорыш г., Уэстон М. эффективность высокоинтенсивной интервальной тренировки (HIT) и непрерывной тренировки на выносливость для улучшения VO2max: систематический обзор и метаанализ контролируемых исследований. Sports Med. 2015;45:1469-81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8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29" w:anchor="ref-CR9" w:tooltip="Херст к, Уэстон КЛ, Уэстон М. Влияние 12 - недельных комбинированных высокоинтенсивных интервальных тренировок верхней и нижней частей тела на мышечную и кардиореспираторную подготовленность пожилых людей. Aging Clin Exp Res. 2019;31:661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9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30" w:anchor="ref-CR10" w:tooltip="Nybo L, Sundstrup E, Jakobsen MD, Mohr M, Hornstrup T, Simonsen L, Bülow J, Randers MB, Nielsen JJ, Aagaard P и др. Высокоинтенсивные тренировки по сравнению с традиционными физическими упражнениями для укрепления здоровья. Med Sci Sport Exerc. 2010;42:1951-8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10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Кроме того, HIIT преодолевает один из наиболее распространенных личностных барьеров для занятий физическими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упражнениями-нехватку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времени, поскольку HIIT-это менее трудоемкая методика обучения , позволяющая максимизировать потенциальную пользу, вызванную физическими упражнениями [</w:t>
      </w:r>
      <w:hyperlink r:id="rId31" w:anchor="ref-CR11" w:tooltip="Sequeira S, Cruz C, Pinto D, Santos L, Marques A. Распространенность барьеров для физической активности у взрослых в зависимости от пола и социально-экономического статуса. Br J Sports Med. 2011;45:A18–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32" w:anchor="ref-CR12" w:tooltip="Гибала М. Дж., Литтл Дж., Макдональд М. Дж., Хоули Дж. Физиологическая адаптация к малообъемным высокоинтенсивным интервальным тренировкам в условиях здоровья и болезни. J Physiol. 2012;590:1077-84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12 ].</w:t>
        </w:r>
      </w:hyperlink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После тренировки оптимальный отдых и адекватное питание имеют решающее значение для того, чтобы позволить не только восстановить запасы энергии, но и удалить, регенерировать, восстановить и защитить поврежденные или изношенные структуры [</w:t>
      </w:r>
      <w:hyperlink r:id="rId33" w:anchor="ref-CR13" w:tooltip="Ширреффс см, Моэн АрДжей. Регидратация и восстановление баланса жидкости после физической нагрузки. Exerc Sport Sci Rev. 2000;28:27-32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34" w:anchor="ref-CR14" w:tooltip="Radák Z. Диета и спорт. В физиологии физического воспитания. Elsevier; 2018. p. 127-39. (Книжный раздел)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14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]. Это приводит функциональные структуры в состояние адаптации с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суперкомпенсацией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такие как повышенная окислительная способность скелетных мышц, повышенное содержание гликогена покоя, сниженная скорость утилизации гликогена и продукции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лактата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 или повышенная способность к окислению липидов всего тела и скелетных мышц, среди других. Эти приспособления улучшают выполнение физических упражнений, способствуют здоровью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,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также благополучию [</w:t>
      </w:r>
      <w:hyperlink r:id="rId35" w:anchor="ref-CR15" w:tooltip="Castillo Garzón MJ, Ortega Porcel FB, Ruiz Ruiz J. Mejora de la forma física como terapia antienvejecimiento. Мед Клин (Barc). 2005;124:146–55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15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36" w:anchor="ref-CR16" w:tooltip="Хиллз-АП, стрит-Си-Джей, Бирн-Нью-Йорк. Физическая активность и здоровье: “что старое, то снова новое”. Adv Food Nutr Res. 2015;75:77-95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16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37" w:anchor="ref-CR17" w:tooltip="Christiansen LB, Lund-Cramer P, Brondeel R, Smedegaard S, Holt A-D, Skovgaard T. улучшение физического самовосприятия детей с помощью школьной физической активности: шаг к благополучию в школьном исследовании. Ment Health Phys Act. 2018;14:31-8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17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38" w:anchor="ref-CR18" w:tooltip="Gibala MJ, Little JP, Van Essen M, Wilkin GP, Burgomaster KA, Safdar A, Raha S, Tarnopolsky MA. краткосрочный спринтерский интервал в сравнении с традиционной тренировкой на выносливость: аналогичные начальные адаптации в скелетной мышце человека и выполнении 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18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 и представляют собой физиологическую основу многочисленных и положительных преимуществ умеренной и энергичной физической тренировки [</w:t>
      </w:r>
      <w:hyperlink r:id="rId39" w:anchor="ref-CR7" w:tooltip="Уэстон м, Тейлор КЛ, Баттерхэм АМ, Хопкинс РГ. Влияние низкообъемных высокоинтенсивных интервальных тренировок (HIT) на физическую форму взрослых: метаанализ контролируемых и неконтролируемых исследований. Sports Med. 2014;44:1005-17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7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Одной из распространенных практик питания после физических упражнений является употребление пива, которое является одним из самых потребляемых напитков в мире [</w:t>
      </w:r>
      <w:hyperlink r:id="rId40" w:anchor="ref-CR19" w:tooltip="О'Брайен К. П., Лайонс Ф. алкоголь и спортсмен. Sports Med. 2000;29:295-300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19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41" w:anchor="ref-CR20" w:tooltip="Ирвин С, Леверитт М, Десброу Б. С трудом заработанная жажда: гидратация на рабочем месте и отношение к потреблению алкоголя после смены. J Health Saf Environ. 2013;29(1):51-67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20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 и часто употребляется взрослыми после физических упражнений в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западных странах [</w:t>
      </w:r>
      <w:hyperlink r:id="rId42" w:anchor="ref-CR21" w:tooltip="Ваттен Р. Г. Спорт, физические упражнения и употребление алкоголя. Scand J Med Sci Sports. 1995;5:364-8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 </w:t>
      </w:r>
      <w:r w:rsidR="00920E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самом деле потребление пива и, реже, других спиртосодержащих напитков</w:t>
      </w:r>
      <w:r w:rsidR="00920E44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часто поощряется как социальный аспект спортивной деятельности, особенно в рекреационных контекстах, или для облегчения сплочения команды в рамках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послематчевого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празднования и отдыха [</w:t>
      </w:r>
      <w:hyperlink r:id="rId43" w:anchor="ref-CR22" w:tooltip="Берк Л. М., Моэн Р. Дж. Моэн АРДЖИ, редактор. Алкоголь в спорте. Oxford: Blackwell science ltd; 2000. Том. VII; ISBN 9780470693766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22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44" w:anchor="ref-CR23" w:tooltip="Hawley J, Jeukendrup AE, Brouns F. Fat Metabolism during Exercise, vol. 6; 2000. ISBN 0632050942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23</w:t>
        </w:r>
      </w:hyperlink>
      <w:r w:rsidR="00920E44">
        <w:rPr>
          <w:sz w:val="32"/>
          <w:szCs w:val="32"/>
        </w:rPr>
        <w:t xml:space="preserve">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Пиво содержит в основном воду (90%), но также содержит определенное количество алкоголя (диапазон примерно от 3,5 до 7%) [</w:t>
      </w:r>
      <w:hyperlink r:id="rId45" w:anchor="ref-CR24" w:tooltip="De Gaetano G, Costanzo S, Di Castelnuovo A, Badimon L, Bejko D, Alkerwi A, Chiva-Blanch G, Estruch R, La Vecchia C, Panico S. влияние умеренного потребления пива на здоровье и болезни: консенсусный документ. Nutr Metab Cardiovasc Dis. 2016;26:443-67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24].</w:t>
        </w:r>
        <w:proofErr w:type="gramEnd"/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Существует озабоченность по поводу влияния пива на гидратацию, восстановление и физическую работоспособность из-за воздействия алкоголя [</w:t>
      </w:r>
      <w:hyperlink r:id="rId46" w:anchor="ref-CR25" w:tooltip="Ширреффс см, Моэн РДЖ. Влияние алкоголя на спортивные результаты. Curr Sports Med Rep. 2006;5:192-6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25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 </w:t>
      </w:r>
      <w:r w:rsidR="00920E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Эти негативные эффекты могут быть связаны со снижением выработки тестостерона и его последующим влиянием на синтез белка и мышечную адаптацию/регенерацию, а также с усилением мочегонного ответа организма вследствие ингибирующего действия этанола на высвобождение вазопрессина [</w:t>
      </w:r>
      <w:hyperlink r:id="rId47" w:anchor="ref-CR26" w:tooltip="Burke LM, Collier GR, Broad EM, Davis PG, Martin DT, Sanigorski AJ, Hargreaves M. влияние потребления алкоголя на накопление мышечного гликогена после длительной физической нагрузки. J Appl Physiol. 2003;95:983–90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26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48" w:anchor="ref-CR27" w:tooltip="Castro-Sepulveda M, Johannsen N, Astudillo S, Jorquera C, Álvarez C, Zbinden-Foncea H, Ramírez-Campillo R. влияние потребления пива, безалкогольного пива и воды перед тренировкой на гомеостаз жидкости и электролитов у спортсменов. Питательные вещества. 2016;8: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27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49" w:anchor="ref-CR28" w:tooltip="Барнс М. Дж. Алкоголь: влияние на спортивную работоспособность и восстановление у спортсменов-мужчин. Sports Med. 2014;44:909-1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28</w:t>
        </w:r>
      </w:hyperlink>
      <w:r w:rsidR="00920E44">
        <w:rPr>
          <w:sz w:val="32"/>
          <w:szCs w:val="32"/>
        </w:rPr>
        <w:t xml:space="preserve"> 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Несмотря на то, что вред, связанный с высоким потреблением алкоголя, широко изучен и не вызывает сомнений [</w:t>
      </w:r>
      <w:hyperlink r:id="rId50" w:anchor="ref-CR28" w:tooltip="Барнс М. Дж. Алкоголь: влияние на спортивную работоспособность и восстановление у спортсменов-мужчин. Sports Med. 2014;44:909-1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28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], эффекты умеренных доз остаются предметом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дискуссий [</w:t>
      </w:r>
      <w:hyperlink r:id="rId51" w:anchor="ref-CR24" w:tooltip="De Gaetano G, Costanzo S, Di Castelnuovo A, Badimon L, Bejko D, Alkerwi A, Chiva-Blanch G, Estruch R, La Vecchia C, Panico S. влияние умеренного потребления пива на здоровье и болезни: консенсусный документ. Nutr Metab Cardiovasc Dis. 2016;26:443-67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24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52" w:anchor="ref-CR29" w:tooltip="Poli A, Marangoni F, Avogaro A, Barba G, Bellentani S, Bucci M, Cambieri R, Catapano AL, Costanzo S, Cricelli C, et al. Умеренное употребление алкоголя и здоровье: консенсусный документ. Nutr Metab Cardiovasc Dis. 2013;23:487-504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29 ].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Некоторые авторы приходят к выводу, что употребление алкоголя после тренировки может повлиять на некоторые аспекты работоспособности, такие как восстановление силы [</w:t>
      </w:r>
      <w:hyperlink r:id="rId53" w:anchor="ref-CR28" w:tooltip="Барнс М. Дж. Алкоголь: влияние на спортивную работоспособность и восстановление у спортсменов-мужчин. Sports Med. 2014;44:909-1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28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 Однако низкая доза алкоголя, по-видимому, не влияет ни на восстановление силы [</w:t>
      </w:r>
      <w:hyperlink r:id="rId54" w:anchor="ref-CR30" w:tooltip="Barnes MJ, Mündel T, Stannard SR. Низкая доза алкоголя не влияет на работу скелетных мышц после повреждения мышц, вызванного физическими упражнениями. Eur J Appl Physiol. 2011;111(4):725–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30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], ни на восстановление силы у мужчин [</w:t>
      </w:r>
      <w:hyperlink r:id="rId55" w:anchor="ref-CR31" w:tooltip="Левитт де и др. Алкоголь после резистентных упражнений не влияет на восстановление мышечной силы. J Strength Cond Res. 2018. &#10; https://doi.org/10.1519/JSC.0000000000002455&#10;&#10;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</w:t>
      </w:r>
    </w:p>
    <w:p w:rsidR="00243974" w:rsidRPr="00977D5F" w:rsidRDefault="00243974" w:rsidP="00243974">
      <w:pPr>
        <w:spacing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Различия в способах выполнения упражнений, дозах алкоголя, типах напитков и характеристиках участников, включая их привычное потребление алкоголя, могут объяснить противоречивые и неубедительные результаты, найденные среди исследований [</w:t>
      </w:r>
      <w:hyperlink r:id="rId56" w:anchor="ref-CR28" w:tooltip="Барнс М. Дж. Алкоголь: влияние на спортивную работоспособность и восстановление у спортсменов-мужчин. Sports Med. 2014;44:909-19." w:history="1">
        <w:proofErr w:type="gramStart"/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28</w:t>
        </w:r>
        <w:proofErr w:type="gramEnd"/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Однако нет исследований, изучающих влияние умеренного потребления пива или алкоголя на реакцию физической подготовленности на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высокозатратную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тренировочную программу в условиях, отражающих реальную жизненную ситуацию здоровых взрослых. Таким образом, целью данного исследования была оценка влияния программы HIIT на показатели физической подготовленности здоровых молодых людей и анализ возможного влияния на нее ежедневного, но умеренного потребления пива или его алкогольного эквивалента. Основная гипотеза состояла в том, что HIIT улучшит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кардиореспираторную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подготовку, мышечную силу и силовые показатели, но потребление пива, даже в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умеренных количествах, может смягчить эти положительные эффекты из-за содержания в нем алкоголя.</w:t>
      </w:r>
    </w:p>
    <w:p w:rsidR="00243974" w:rsidRPr="00977D5F" w:rsidRDefault="00243974" w:rsidP="00243974">
      <w:pPr>
        <w:pBdr>
          <w:bottom w:val="single" w:sz="12" w:space="7" w:color="D5D5D5"/>
        </w:pBd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color w:val="1B3051"/>
          <w:sz w:val="32"/>
          <w:szCs w:val="32"/>
          <w:lang w:eastAsia="ru-RU"/>
        </w:rPr>
      </w:pPr>
      <w:r w:rsidRPr="00977D5F">
        <w:rPr>
          <w:rFonts w:ascii="Trebuchet MS" w:eastAsia="Times New Roman" w:hAnsi="Trebuchet MS" w:cs="Times New Roman"/>
          <w:b/>
          <w:bCs/>
          <w:color w:val="1B3051"/>
          <w:sz w:val="32"/>
          <w:szCs w:val="32"/>
          <w:lang w:eastAsia="ru-RU"/>
        </w:rPr>
        <w:t>Методы</w:t>
      </w:r>
    </w:p>
    <w:p w:rsidR="00243974" w:rsidRPr="00977D5F" w:rsidRDefault="00243974" w:rsidP="00243974">
      <w:pPr>
        <w:spacing w:after="134" w:line="240" w:lineRule="auto"/>
        <w:outlineLvl w:val="2"/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</w:pPr>
      <w:r w:rsidRPr="00977D5F"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  <w:t>Дизайн исследования и участники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После вербовки через социальные сети, местные СМИ и плакаты было оценено в общей сложности 83 здоровых взрослых человека (35 женщин) из Гранады (Испания). 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исследование является зарегистрированным контролируемым испытанием (</w:t>
      </w:r>
      <w:hyperlink r:id="rId57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ClinicalTrials.gov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ID: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hyperlink r:id="rId58" w:history="1">
        <w:proofErr w:type="gramStart"/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NCT03660579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 </w:t>
      </w:r>
      <w:r w:rsidR="00920E44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следует последней редакции Хельсинкской декларации.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Этический комитет по человеческим исследованиям Университета Гранады (321/CEIH/2017) одобрил проект исследования, протоколы исследования и процедуру информированного согласия. До зачисления все потенциальные лица прошли медицинское обследование для выявления какого-либо патологического состояния, дали письменное информированное согласие и были полностью информированы о целях исследования, дизайне, критериях включения, оценках, которые будут проводиться, вмешательстве в программу упражнений и типах напитков, которые будут употребляться. Критерии включения были следующими: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 наличие индекса массы тела (ИМТ) от 18,5 до 30 кг/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perscript"/>
          <w:lang w:eastAsia="ru-RU"/>
        </w:rPr>
        <w:t>м2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 отсутствие одновременной или предыдущей структурированной программы тренировок или программы похудения,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iii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 наличие стабильной массы тела в течение последних 5 месяцев (изменения массы тела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В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се участники были проинформированы о рекомендациях Всемирной организации здравоохранения по физической активности во время программы вмешательства, а также о преимуществах практики физической активности [</w:t>
      </w:r>
      <w:hyperlink r:id="rId59" w:anchor="ref-CR32" w:tooltip="Всемирная Организация Здравоохранения. Глобальные рекомендации по физической активности для здоровья. Всемирная Организация Здравоохранения. Женева: Европейское региональное бюро ВОЗ; 2010. Идентификатор книжной полки: NBK305057PMID:26180873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32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], и им было поручено поддерживать свой обычный уровень физической активности и не заниматься другими дополнительными структурированными упражнениями вне программы вмешательства.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показано на рис. </w:t>
      </w:r>
      <w:hyperlink r:id="rId60" w:anchor="Fig1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94 человека приняли участие в информационном совещании и были оценены на предмет соответствия требованиям. В общей сложности 83 человека соответствовали критериям включения, и после базовых измерений участники были распределены в обучающую (T) или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Нетренирующую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группу на основе личных предпочтений. Затем те, кто был отнесен к группе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выбирали, предпочитают ли они быть включенными в группу, потребляющую напиток, содержащий этанол (содержание алкоголя 5,4%), или безалкогольный напиток с понедельника по пятницу. Участники, выбирающие этанол, были случайным образом распределены либо в группу, потребляющую пиво (Т-пиво), либо в группу, потребляющую газированную воду с добавлением водочного этанола (Т-этанол). Те, кто выбирал безалкогольные напитки, были случайным образом распределены либо в группу безалкогольного пива (T-0,0 пива), либо в группу газированной воды (T-вода). Каждая группа состояла из 8 мужчин и 8 женщин. Этот тип неслучайного (основанного на индивидуальных предпочтениях) и случайного распределения участников проводился в соответствии с этическими соображениями и советами, предложенными этическим комитетом (321-CEIH-2017), поскольку употребление алкоголя или участие в очень требовательной учебной программе должно быть личным выбором. Оценочный персонал </w:t>
      </w:r>
      <w:r w:rsidR="00920E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 знал </w:t>
      </w:r>
      <w:proofErr w:type="gramStart"/>
      <w:r w:rsidR="00920E44">
        <w:rPr>
          <w:rFonts w:ascii="Times New Roman" w:eastAsia="Times New Roman" w:hAnsi="Times New Roman" w:cs="Times New Roman"/>
          <w:sz w:val="32"/>
          <w:szCs w:val="32"/>
          <w:lang w:eastAsia="ru-RU"/>
        </w:rPr>
        <w:t>смешении</w:t>
      </w:r>
      <w:proofErr w:type="gramEnd"/>
      <w:r w:rsidR="00920E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участников.</w:t>
      </w:r>
    </w:p>
    <w:p w:rsidR="00243974" w:rsidRPr="00977D5F" w:rsidRDefault="00243974" w:rsidP="0024397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Рис. 1</w:t>
      </w:r>
    </w:p>
    <w:p w:rsidR="00243974" w:rsidRPr="00977D5F" w:rsidRDefault="00243974" w:rsidP="0024397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noProof/>
          <w:color w:val="004B83"/>
          <w:sz w:val="32"/>
          <w:szCs w:val="32"/>
          <w:lang w:eastAsia="ru-RU"/>
        </w:rPr>
        <w:lastRenderedPageBreak/>
        <w:drawing>
          <wp:inline distT="0" distB="0" distL="0" distR="0">
            <wp:extent cx="5119178" cy="8023312"/>
            <wp:effectExtent l="19050" t="0" r="5272" b="0"/>
            <wp:docPr id="1" name="Рисунок 1" descr="рис. 1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. 1">
                      <a:hlinkClick r:id="rId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958" cy="802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974" w:rsidRPr="00977D5F" w:rsidRDefault="00243974" w:rsidP="00243974">
      <w:pPr>
        <w:spacing w:line="240" w:lineRule="auto"/>
        <w:rPr>
          <w:rFonts w:ascii="Georgia" w:eastAsia="Times New Roman" w:hAnsi="Georgia" w:cs="Times New Roman"/>
          <w:sz w:val="32"/>
          <w:szCs w:val="32"/>
          <w:lang w:eastAsia="ru-RU"/>
        </w:rPr>
      </w:pP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Flow-chart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diagram</w:t>
      </w:r>
      <w:proofErr w:type="spellEnd"/>
    </w:p>
    <w:p w:rsidR="00243974" w:rsidRPr="00977D5F" w:rsidRDefault="00762D95" w:rsidP="00243974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63" w:history="1">
        <w:r w:rsidR="00243974" w:rsidRPr="00977D5F">
          <w:rPr>
            <w:rFonts w:ascii="Segoe UI" w:eastAsia="Times New Roman" w:hAnsi="Segoe UI" w:cs="Segoe UI"/>
            <w:b/>
            <w:bCs/>
            <w:color w:val="004B83"/>
            <w:sz w:val="32"/>
            <w:szCs w:val="32"/>
            <w:u w:val="single"/>
            <w:lang w:eastAsia="ru-RU"/>
          </w:rPr>
          <w:t>Полноразмерное изображение</w:t>
        </w:r>
      </w:hyperlink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Участников попросили сообщить о своей обычной частоте употребления алкоголя в семи возможных категориях ответов,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используя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опросник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потребления напитков (BEVQ [</w:t>
      </w:r>
      <w:hyperlink r:id="rId64" w:anchor="ref-CR26" w:tooltip="Burke LM, Collier GR, Broad EM, Davis PG, Martin DT, Sanigorski AJ, Hargreaves M. влияние потребления алкоголя на накопление мышечного гликогена после длительной физической нагрузки. J Appl Physiol. 2003;95:983–90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26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]) до и после вмешательства. Этот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опросник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был разработан для оценки среднего ежедневного потребления воды, подслащенных напитков и алкогольных напитков. Чтобы оценить BEVQ, частота (“как часто”) преобразуется в единицу времени в день, а затем умножается на количество потребляемого напитка (“сколько каждый раз”), чтобы обеспечить среднее ежедневное и еженедельное потребление потребляемого напитка. Общее потребление алкоголя определялось количественно </w:t>
      </w:r>
      <w:r w:rsidRPr="002C7333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через сумму категорий напитков, содержащих алкоголь (например, пиво, вино, крепкие спиртные напитки и коктейли).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Кроме того, уровни физической активности регистрировались до и после программы вмешательства путем самоотчета. В общей сложности 10 участников выбыли между распределением и последующим наблюдением из-за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 несоблюдения программы обучения (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= 5),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 физических причин (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= 3) или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iii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 других причин (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= 2).</w:t>
      </w:r>
    </w:p>
    <w:p w:rsidR="00243974" w:rsidRPr="00977D5F" w:rsidRDefault="00243974" w:rsidP="00243974">
      <w:pPr>
        <w:spacing w:after="134" w:line="240" w:lineRule="auto"/>
        <w:outlineLvl w:val="2"/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</w:pPr>
      <w:r w:rsidRPr="00977D5F"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  <w:t>Протокол обучения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Подробное описание каждого упражнения учебной программы можно найти в другом месте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,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предлагаемые упражнения основаны на нашем предыдущем опыте [</w:t>
      </w:r>
      <w:hyperlink r:id="rId65" w:anchor="ref-CR33" w:tooltip="Amaro-Gahete FJ, De-la-O A, Jurado-Fasoli L, Espuch-Oliver A, Robles-Gonzalez L, Navarro-Lomas G, de Haro T, Femia P, Castillo MJ, Gutierrez A. тренировка как стимулятор белка S-Klotho у сидячих здоровых взрослых: обоснование, дизайн и методология. Contemporar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66" w:anchor="ref-CR34" w:tooltip="Amaro-Gahete FJ, de la OA, Jurado-Fasoli L, Ruiz JR, Castillo MJ, Gutiérrez Á. Влияние различных программ тренировок на состав тела: рандомизированное контрольное исследование. Scand J Med Sci Sports. 2019;29(7):968-7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34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 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Участие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 крайней мере в 80% сессий должно было быть включено в окончательный анализ. Все учебные занятия проходили под руководством квалифицированных и сертифицированных персональных тренеров и проводились в группах по 8 человек. Также было запланировано постепенное прогрессирование интенсивности, чтобы обеспечить хорошее соблюдение группы вмешательства.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Интервенционные группы HIIT завершали в общей сложности 2 </w:t>
      </w:r>
      <w:r w:rsidR="002F6D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тренировки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неделю в конце дня или ранним вечером с понедельника по пятницу в течение 10 недель с не менее чем 48-часовым восстановлением между каждым сеансом. Было предложено постепенное прогрессирование, чтобы избежать травм и отсева. Тренировочные занятия начинались с объема 40 мин в неделю и интенсивности 8-9 РПЭ по результатам предыдущих исследований [</w:t>
      </w:r>
      <w:hyperlink r:id="rId67" w:anchor="ref-CR33" w:tooltip="Amaro-Gahete FJ, De-la-O A, Jurado-Fasoli L, Espuch-Oliver A, Robles-Gonzalez L, Navarro-Lomas G, de Haro T, Femia P, Castillo MJ, Gutierrez A. тренировка как стимулятор белка S-Klotho у сидячих здоровых взрослых: обоснование, дизайн и методология. Contemp Cli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68" w:anchor="ref-CR35" w:tooltip="Санчес-Дельгадо г, Мартинес-Теллес Б, Олза ж, Агилера см, Лабайен и, Ортега ФБ, Шильон П, Фернандес-Регера с, Алькантара ЖМА, Мартинес-Авила ВД и др. Активация коричневой жировой ткани через физические упражнения (АКТИБАТ) у молодых взрослых: обоснование, диза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35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69" w:anchor="ref-CR36" w:tooltip="Jurado-Fasoli L, Amaro-Gahete FJ, De-la-O A, Gutiérrez Á, Castillo MJ. Потребление алкоголя и уровень S-Клото в плазме крови у сидячих здоровых людей среднего возраста: перекрестное исследование. Зависимость От Наркотиков И Алкоголя. 2019;194:107-11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36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]. Последующие 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приращения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 объема, так и интенсивности были установлены в фазе I (50 мин в неделю и 10 РПЭ) и во второй фазе (65 мин в неделю и 10 РПЭ).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Интервенция HIIT была разделена на две различные фазы, начиная с фазы ознакомления, чтобы узнать основные паттерны движения. Во всех случаях интенсивность тренировки составляла &gt; 8 баллов по шкале воспринимаемой нагрузки (0-10 баллов) [</w:t>
      </w:r>
      <w:hyperlink r:id="rId70" w:anchor="ref-CR37" w:tooltip="Gillach MC, Sallis JF, Buono MJ, Patterson P, Nader PR. Связь между воспринимаемой нагрузкой и частотой сердечных сокращений у детей и взрослых. Педиатр, 1989;1:360-8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37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], что имеет положительную линейную связь с частотой сердечных сокращений и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max (максимальное поглощение кислорода) [</w:t>
      </w:r>
      <w:hyperlink r:id="rId71" w:anchor="ref-CR38" w:tooltip="Arena S. Rate воспринимала напряжение как меру интенсивности упражнений. Home Healthc Now. 2017;35:570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38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72" w:anchor="ref-CR39" w:tooltip="Buchheit M, Laursen PB. Высокоинтенсивная интервальная тренировка, решение задачи программирования: Часть I: сердечно-легочный акцент. Sports Med. 2013;43:313-38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39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 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Был пассивный отдых между упражнениями и активный отдых между сетами (интенсивность 6 RPE, что соответствует 60%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max [</w:t>
      </w:r>
      <w:hyperlink r:id="rId73" w:anchor="ref-CR38" w:tooltip="Arena S. Rate воспринимала напряжение как меру интенсивности упражнений. Home Healthc Now. 2017;35:570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38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74" w:anchor="ref-CR40" w:tooltip="Lunt H, Draper N, Marshall HC, Logan FJ, Hamlin MJ, Shearman JP, Cotter JD, Kimber NE, Blackwell G, Frampton CMA. Высокоинтенсивная интервальная тренировка в реальных условиях: рандомизированное контролируемое технико-экономическое обоснование у неактивных взр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40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]), следуя периодизации, описанной в предыдущих исследованиях [</w:t>
      </w:r>
      <w:hyperlink r:id="rId75" w:anchor="ref-CR41" w:tooltip="Холлис С, Кэмпбелл Ф. Что подразумевается под намерением лечить анализ? BMJ: обзор опубликованных рандомизированных контролируемых исследований; 199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41</w:t>
        </w:r>
      </w:hyperlink>
      <w:r w:rsidR="002F6D2C">
        <w:rPr>
          <w:sz w:val="32"/>
          <w:szCs w:val="32"/>
        </w:rPr>
        <w:t xml:space="preserve">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Восемь упражнений с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самонагрузкой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выполнялись по схеме дважды за сет (фронтальная планка, высокие колени вверх, горизонтальный ряд TRX, приседание, становая тяга, боковая планка, отжимание и отрыжка) с пассивным отдыхом между упражнениями и активным отдыхом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между сетами (интенсивность 6 RPE).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Динамическая стандартизированная разминка и активный глобальный растягивающий охлаждающий протокол были завершены в начале и в конце каждой тренировки, соответственно, во всех группах вмешательства. Были предприняты дополнительные усилия для обеспечения более строгого соблюдения протокола обучения. Например, сессии переносились, когда участник не мог присутствовать из-за работы, личных проблем или болезни. Участников постоянно поощряли на протяжении каждой тренировки и инструктировали достигать определенной целевой интенсивности.</w:t>
      </w:r>
    </w:p>
    <w:p w:rsidR="00243974" w:rsidRPr="00977D5F" w:rsidRDefault="00243974" w:rsidP="00243974">
      <w:pPr>
        <w:spacing w:after="134" w:line="240" w:lineRule="auto"/>
        <w:outlineLvl w:val="2"/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</w:pPr>
      <w:r w:rsidRPr="00977D5F"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  <w:t>Протокол приема напитков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Объем проглоченной жидкости составлял 660 мл для мужчин и 330 мл для женщин с понедельника по пятницу в течение 10-недельного вмешательства. 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Мужчины проглатывали 330 мл за обедом и 330 мл за ужином, а женщины-330 мл за ужином: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 группа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T-Beer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проглатывала обычное светлое пиво (5,4%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алкоголя-Alhambra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Especial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®, Гранада, Испания);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 группа T-0.0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Beer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проглатывала безалкогольное пиво (0,0%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алкоголя-Cruzcampo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®, Севилья, Испания);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iii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 группа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T-Water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проглатывала газированную воду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Eliqua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2®, фон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Салем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 Испания);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IV) группа Т-этанола принимала газированную воду с добавлением точно такого же количества дистиллированного спирта.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Дистиллированный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алкогольный напиток, используемый в нашем исследовании, был фирменной водкой из-за чистоты его состава (37,5% этанола и 62,5% воды). </w:t>
      </w:r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Количество алкоголя, выбранное для употребления</w:t>
      </w:r>
      <w:proofErr w:type="gramStart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 ,</w:t>
      </w:r>
      <w:proofErr w:type="gramEnd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 было основано на научных данных, которые определяют умеренное количество как два-три напитка в день или 24-36 г этанола в день для мужчин и один-два напитка в день или 12-24 г этанола в день для женщин [</w:t>
      </w:r>
      <w:hyperlink r:id="rId76" w:anchor="ref-CR28" w:tooltip="Барнс М. Дж. Алкоголь: влияние на спортивную работоспособность и восстановление у спортсменов-мужчин. Sports Med. 2014;44:909-19." w:history="1">
        <w:r w:rsidRPr="00F22CA4">
          <w:rPr>
            <w:rFonts w:ascii="Times New Roman" w:eastAsia="Times New Roman" w:hAnsi="Times New Roman" w:cs="Times New Roman"/>
            <w:color w:val="004B83"/>
            <w:sz w:val="32"/>
            <w:szCs w:val="32"/>
            <w:highlight w:val="yellow"/>
            <w:u w:val="single"/>
            <w:lang w:eastAsia="ru-RU"/>
          </w:rPr>
          <w:t>28</w:t>
        </w:r>
      </w:hyperlink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, </w:t>
      </w:r>
      <w:hyperlink r:id="rId77" w:anchor="ref-CR36" w:tooltip="Jurado-Fasoli L, Amaro-Gahete FJ, De-la-O A, Gutiérrez Á, Castillo MJ. Потребление алкоголя и уровень S-Клото в плазме у сидячих здоровых людей среднего возраста: кросс-секционное исследование. Зависимость От Наркотиков И Алкоголя. 2019;194:107-11." w:history="1">
        <w:r w:rsidRPr="00F22CA4">
          <w:rPr>
            <w:rFonts w:ascii="Times New Roman" w:eastAsia="Times New Roman" w:hAnsi="Times New Roman" w:cs="Times New Roman"/>
            <w:color w:val="004B83"/>
            <w:sz w:val="32"/>
            <w:szCs w:val="32"/>
            <w:highlight w:val="yellow"/>
            <w:u w:val="single"/>
            <w:lang w:eastAsia="ru-RU"/>
          </w:rPr>
          <w:t>36</w:t>
        </w:r>
      </w:hyperlink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Единственное потребление алкоголя, разрешенное с понедельника по пятницу, было предоставлено следователями. В выходные дни участникам, включенным в алкогольные группы, предлагалось пить не более умеренного количества алкоголя (то есть 660 мл/</w:t>
      </w:r>
      <w:proofErr w:type="spellStart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сут</w:t>
      </w:r>
      <w:proofErr w:type="spellEnd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 для мужчин и 330 мл/</w:t>
      </w:r>
      <w:proofErr w:type="spellStart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сут</w:t>
      </w:r>
      <w:proofErr w:type="spellEnd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 для женщин). Все напитки были закодированы и предоставлены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сотрудником нашей исследовательской лаборатории в начале каждой недели, чтобы ослепить групповое назначение участников исследователям, проводившим оценку. Кроме того, потребление алкоголя было зарегистрировано до и после вмешательства.</w:t>
      </w:r>
    </w:p>
    <w:p w:rsidR="00243974" w:rsidRPr="00977D5F" w:rsidRDefault="00243974" w:rsidP="00243974">
      <w:pPr>
        <w:spacing w:after="134" w:line="240" w:lineRule="auto"/>
        <w:outlineLvl w:val="2"/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</w:pPr>
      <w:r w:rsidRPr="00977D5F"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  <w:t>Оценка физической подготовленности</w:t>
      </w:r>
    </w:p>
    <w:p w:rsidR="00243974" w:rsidRPr="00977D5F" w:rsidRDefault="00243974" w:rsidP="00243974">
      <w:pPr>
        <w:spacing w:after="134" w:line="240" w:lineRule="auto"/>
        <w:outlineLvl w:val="3"/>
        <w:rPr>
          <w:rFonts w:ascii="Segoe UI" w:eastAsia="Times New Roman" w:hAnsi="Segoe UI" w:cs="Segoe UI"/>
          <w:b/>
          <w:bCs/>
          <w:color w:val="222222"/>
          <w:sz w:val="32"/>
          <w:szCs w:val="32"/>
          <w:lang w:eastAsia="ru-RU"/>
        </w:rPr>
      </w:pPr>
      <w:proofErr w:type="spellStart"/>
      <w:r w:rsidRPr="00977D5F">
        <w:rPr>
          <w:rFonts w:ascii="Segoe UI" w:eastAsia="Times New Roman" w:hAnsi="Segoe UI" w:cs="Segoe UI"/>
          <w:b/>
          <w:bCs/>
          <w:color w:val="222222"/>
          <w:sz w:val="32"/>
          <w:szCs w:val="32"/>
          <w:lang w:eastAsia="ru-RU"/>
        </w:rPr>
        <w:t>Кардиореспираторный</w:t>
      </w:r>
      <w:proofErr w:type="spellEnd"/>
      <w:r w:rsidRPr="00977D5F">
        <w:rPr>
          <w:rFonts w:ascii="Segoe UI" w:eastAsia="Times New Roman" w:hAnsi="Segoe UI" w:cs="Segoe UI"/>
          <w:b/>
          <w:bCs/>
          <w:color w:val="222222"/>
          <w:sz w:val="32"/>
          <w:szCs w:val="32"/>
          <w:lang w:eastAsia="ru-RU"/>
        </w:rPr>
        <w:t xml:space="preserve"> фитнес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Для определения VO 2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max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использовался тренировочный тест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maximum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treadmill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(H/P/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Cosmos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Pulsar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treadmill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H/P/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Cosmos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Sport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&amp;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Medical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GMBH, Германия) с применением ранее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валидированного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протокола [</w:t>
      </w:r>
      <w:hyperlink r:id="rId78" w:anchor="ref-CR33" w:tooltip="Amaro-Gahete FJ, De-la-O A, Jurado-Fasoli L, Espuch-Oliver A, Robles-Gonzalez L, Navarro-Lomas G, de Haro T, Femia P, Castillo MJ, Gutierrez A. тренировка как стимулятор белка S-Klotho у сидячих здоровых взрослых: обоснование, дизайн и методология. Contemp Cli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79" w:anchor="ref-CR35" w:tooltip="Санчес-Дельгадо G, Мартинес-Теллес B, Олза J, Агилера CM, Лабайен I, Ортега FB, Шильон P, Фернандес-Регера C, Алькантара JMA, Мартинес-Авила WD и др. Активация коричневой жировой ткани с помощью физических упражнений (АКТИБАТ) у молодых людей: обоснование, диз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35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80" w:anchor="ref-CR42" w:tooltip="Вэй м и др. Связь между низкой кардиореспираторной пригодностью и смертностью у мужчин с нормальным весом, избыточным весом и ожирением. Джама; 1999,;282(16):1547-53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42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 (т. е. модифицированного протокола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Balke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[</w:t>
      </w:r>
      <w:hyperlink r:id="rId81" w:anchor="ref-CR43" w:tooltip="Балк Б, Уэр РВ. Экспериментальное исследование физической подготовленности личного состава ВВС. U S Armed Forces Med J. 1959;10:675-88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43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]). Мы провели разминку (ходьба со скоростью 3,5 км/ч в течение 1 мин и со скоростью 4 км/ч в течение 2 мин) с последующим инкрементным протоколом, который поддерживал скорость 5,3 км/ч при 0% - ном уклоне в течение 1 мин. Участники шли по беговой дорожке с постоянной скоростью (5,3 км/ч) с увеличением на 1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% К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аждую минуту до волевого истощения. Мы измерили поглощение O2 и CO2 производство с непрямым калориметром с использованием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ороназальной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маски (модель 7400,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Hans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Rudolph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Inc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., Канзас-Сити, МО, США), оснащенной датчиком Метаболического потока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prevent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TM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Medgraphics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Corp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., MN, США). Мы калибровали газоанализатор с использованием двух стандартных концентраций газа и проводили калибровку потока с помощью калибровочного шприца 3 л перед испытанием каждый день. Программное обеспечение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Breeze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Suite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(версия 8.1.0.54 SP7, MGC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Diagnostic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®) использовалось для оценки средних значений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поглощения кислорода (VO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 и коэффициент дыхательного обмена (отношение между углекислым газом и кислородом в процентах) каждую минуту. Кроме того, частота сердечных сокращений непрерывно измерялась на протяжении всего упражнения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Polar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RS800,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Kempele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 Финляндия), а оценки воспринимаемой нагрузки (РПЭ) оценивались на каждом этапе и при истощении (в течение последних 15 С) с использованием шкалы 6-20 Борг [</w:t>
      </w:r>
      <w:hyperlink r:id="rId82" w:anchor="ref-CR44" w:tooltip="Борг га. Психофизические основы воспринимаемого напряжения. Med Sci Sports Exerc. 1982;14:377-81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44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 Процесс ознакомления со шкалой RPE был проведен перед тестом упражнений. Во время каждого испытания участникам настоятельно предлагалось приложить максимум усилий. 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Критерии достижения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максимум был: (я) в дыхательный коэффициент ≥ 1.1, плато в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/смена &lt; 100 мл/мин за последние три последовательных 10 С), (II) увеличение ЧСС в пределах 10 уд/мин в возрасте предсказаны максимальной частоты сердечных сокращений (168-0.7*лет) [</w:t>
      </w:r>
      <w:hyperlink r:id="rId83" w:anchor="ref-CR45" w:tooltip="Pallarés JG, Morán-Navarro R. Propuesta metodológica Para el entrenamiento de la Resistencia cardiorespiratoria./ методологический подход к кардиореспираторной тренировке выносливости. J Spport Heal Res. 2012;4:119-36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45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84" w:anchor="ref-CR46" w:tooltip="Миджли АУ, Макнотон ЛР, Кэрролл С. Время при VO2max во время прерывистого бега на беговой дорожке: зависит ли протокол теста от методологического артефакта? Int J Sports Med. 2007;28:934-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46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], и (III) если эти критерии не были соблюдены, пиковое потребление кислорода значение в ходе проверки было рассмотрено [</w:t>
      </w:r>
      <w:hyperlink r:id="rId85" w:anchor="ref-CR46" w:tooltip="Миджли АУ, Макнотон ЛР, Кэрролл С. Время при VO2max во время прерывистого бега на беговой дорожке: зависит ли протокол теста от методологического артефакта? Int J Sports Med. 2007;28:934-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46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</w:t>
      </w:r>
      <w:proofErr w:type="gramEnd"/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Участникам было предложено воздержаться от употребления стимулирующих веществ и пищи за 24 ч и 2 ч до начала теста на физическую нагрузку, соответственно, и не выполнять никаких физических нагрузок умеренной (предыдущие 24 ч) и/или интенсивной интенсивности (предыдущие 48 ч).</w:t>
      </w:r>
      <w:proofErr w:type="gramEnd"/>
    </w:p>
    <w:p w:rsidR="00243974" w:rsidRPr="00977D5F" w:rsidRDefault="00243974" w:rsidP="00243974">
      <w:pPr>
        <w:spacing w:after="134" w:line="240" w:lineRule="auto"/>
        <w:outlineLvl w:val="3"/>
        <w:rPr>
          <w:rFonts w:ascii="Segoe UI" w:eastAsia="Times New Roman" w:hAnsi="Segoe UI" w:cs="Segoe UI"/>
          <w:b/>
          <w:bCs/>
          <w:color w:val="222222"/>
          <w:sz w:val="32"/>
          <w:szCs w:val="32"/>
          <w:lang w:eastAsia="ru-RU"/>
        </w:rPr>
      </w:pPr>
      <w:r w:rsidRPr="00977D5F">
        <w:rPr>
          <w:rFonts w:ascii="Segoe UI" w:eastAsia="Times New Roman" w:hAnsi="Segoe UI" w:cs="Segoe UI"/>
          <w:b/>
          <w:bCs/>
          <w:color w:val="222222"/>
          <w:sz w:val="32"/>
          <w:szCs w:val="32"/>
          <w:lang w:eastAsia="ru-RU"/>
        </w:rPr>
        <w:t>Мышечная сила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Прочность захвата руки (кг) оценивали с помощью цифрового ручного динамометра (T.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K. 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K. 5401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Grip-D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;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Takey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Tokyo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Japan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).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Это измерение было предложено в качестве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валидного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теста для прогнозирования мышечной силы и выносливости с помощью более простого оборудования и минимизации усилий испытуемых. Кроме того, он был связан с силой всего тела и верхней части тела [</w:t>
      </w:r>
      <w:hyperlink r:id="rId86" w:anchor="ref-CR47" w:tooltip="Trosclair D, Bellar D, Judge LW, Smith J, Mazerat N, Brignac A. сила рукопожатия как предиктор мышечной силы и выносливости. J Strength Cond Res. 2011;25:S9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47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], хотя большую пользу для улучшения силы можно было бы получить при использовании батареи силовых тестов, подобных тем, которые используются в упражнениях с отягощениями, практикуемых во время тренировок. Участники сохраняли стандартное двуногое положение в течение всего теста с полностью вытянутой рукой, предотвращая соприкосновение динамометра с любой частью тела, кроме измеряемой руки. Для каждой руки было сделано по две попытки с 1-минутным отдыхом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между каждой попыткой. Мы проинструктировали участников непрерывно сжиматься в течение 2-3 секунд, и их попросили прилагать максимальную силу в каждой попытке. Следуя предыдущим исследованиям, мы зафиксировали длину захвата динамометра на уровне 5,5 см для мужчин, а для женщин использовали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валидированное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уравнение [</w:t>
      </w:r>
      <w:hyperlink r:id="rId87" w:anchor="ref-CR48" w:tooltip="Ruiz-Ruiz J, Mesa JLM, Gutiérrez A, Castillo MJ. размер руки влияет на оптимальный размах захвата у женщин, но не у мужчин. J Hand Surg [Am]. 2002;27:897-901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48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]. Мы рассматривали общую силу хвата как сумму наилучшей 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попытки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 для левой, так и для правой руки.</w:t>
      </w:r>
    </w:p>
    <w:p w:rsidR="00243974" w:rsidRPr="00977D5F" w:rsidRDefault="00243974" w:rsidP="00243974">
      <w:pPr>
        <w:spacing w:after="134" w:line="240" w:lineRule="auto"/>
        <w:outlineLvl w:val="3"/>
        <w:rPr>
          <w:rFonts w:ascii="Segoe UI" w:eastAsia="Times New Roman" w:hAnsi="Segoe UI" w:cs="Segoe UI"/>
          <w:b/>
          <w:bCs/>
          <w:color w:val="222222"/>
          <w:sz w:val="32"/>
          <w:szCs w:val="32"/>
          <w:lang w:eastAsia="ru-RU"/>
        </w:rPr>
      </w:pPr>
      <w:r w:rsidRPr="00977D5F">
        <w:rPr>
          <w:rFonts w:ascii="Segoe UI" w:eastAsia="Times New Roman" w:hAnsi="Segoe UI" w:cs="Segoe UI"/>
          <w:b/>
          <w:bCs/>
          <w:color w:val="222222"/>
          <w:sz w:val="32"/>
          <w:szCs w:val="32"/>
          <w:lang w:eastAsia="ru-RU"/>
        </w:rPr>
        <w:t>Мышечная сила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Анаэробную силу нижних конечностей оценивали с помощью </w:t>
      </w:r>
      <w:r w:rsidRPr="00977D5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“Ergo Jump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Bosco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System®”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Globus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,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Тревизо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,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Италия</w:t>
      </w:r>
      <w:r w:rsidRPr="00977D5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). 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Участники выполнили два испытания для каждого прыжкового упражнения, и был зафиксирован лучший результат [</w:t>
      </w:r>
      <w:hyperlink r:id="rId88" w:anchor="ref-CR49" w:tooltip="Фернандес-Сантос-младший, Руис-младший, Коэн-ДД, Гонсалес-Монтесинос-ДЖЛ, Кастро-Пиньеро-Дж.надежность и валидность тестов для оценки мышечной силы нижней части тела у детей. J Strength Cond Res. 2015;29:2277-85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49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]. Четыре вида прыжков выполнялись в следующем порядке: прыжок с приседанием, SJ; прыжок с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контрдвижением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без замаха руками, CMJ; с замахом руками, прыжок Абалакова, ABKJ; прыжок с падением, DJ. Участники получали конкретные отзывы от исследователей, указывающих положение ног, рук и туловища во время теста. 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Участники провели некоторые практические испытания перед оценкой [</w:t>
      </w:r>
      <w:hyperlink r:id="rId89" w:anchor="ref-CR50" w:tooltip="Боско с, Лухтанен П, Коми ПВ. Простой метод измерения механической силы при прыжках. Eur J Appl Physiol Occup Phys. 1983;50:273-82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50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Результаты вышеупомянутых тестов позволили рассчитать соответствующие показатели мышечной силы: индекс эластичности (упругая энергия = ({CMJ-SJ}/CMJ)× 100), индекс координации верхних конечностей ((ABKJ-CMJ)/ABKJ)× 100) и процент быстро сокращающихся волокон [</w:t>
      </w:r>
      <w:hyperlink r:id="rId90" w:anchor="ref-CR51" w:tooltip="Bosco C, Luhtanen P, Komi PVPV. Простой метод измерения механической силы при прыжках. Eur J Appl Physiol Occup Physiol. 1983;50:273-82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51 ].</w:t>
        </w:r>
      </w:hyperlink>
      <w:proofErr w:type="gramEnd"/>
    </w:p>
    <w:p w:rsidR="00243974" w:rsidRPr="00977D5F" w:rsidRDefault="00243974" w:rsidP="00243974">
      <w:pPr>
        <w:spacing w:after="134" w:line="240" w:lineRule="auto"/>
        <w:outlineLvl w:val="2"/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</w:pPr>
      <w:r w:rsidRPr="00977D5F">
        <w:rPr>
          <w:rFonts w:ascii="Segoe UI" w:eastAsia="Times New Roman" w:hAnsi="Segoe UI" w:cs="Segoe UI"/>
          <w:color w:val="222222"/>
          <w:sz w:val="32"/>
          <w:szCs w:val="32"/>
          <w:lang w:eastAsia="ru-RU"/>
        </w:rPr>
        <w:t>Статистический анализ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Расчеты размера выборки были основаны на минимальном прогнозируемом изменении на 15%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max, силы хвата руки и прыжка SJ (с 15% расчетного стандартного отклонения) между интервенционными группами и контрольной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нетренировочной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группой. Учитывая результаты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пилотного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исследования, 13 участников в каждой группе были необходимы для обеспечения статистической мощности 85% (ошибка I типа = 0,05) [</w:t>
      </w:r>
      <w:hyperlink r:id="rId91" w:anchor="ref-CR52" w:tooltip="Шаффер мл, Шинчилли ВМ. Включение множественного вменения в анализ чувствительности для клинических испытаний с неудачным лечением. Презрительные Испытания. 2007;28:130–7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52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 Однако мы набрали минимум 16 участников в группу (всего 80), чтобы принять максимальную потерю в размере 20% при последующем наблюдении [</w:t>
      </w:r>
      <w:hyperlink r:id="rId92" w:anchor="ref-CR53" w:tooltip="Reljic D, Lampe D, Wolf F, Zopf Y, Herrmann HJ, Fischer J. распространенность и предикторы отсева от высокоинтенсивных интервальных тренировок у малоподвижных людей: метаанализ. Scand J Med Sci Sports. 2019;29:1288-304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Данные проверяли на нормальность с помощью теста Шапиро–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Уилка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визуального осмотра Q-Q участков. Мы провели повторные измерения, анализ отклонений по изучению изменения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мышечной силы параметров (т. е. во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Макс. в абсолютном и относительном выражении, максимальная частота сердечных сокращений, общая продолжительность теста, общей рукоятка, СД, CMJ, ABKJ 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диджей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), во времени, между группами, и их взаимодействие (время × группа). Мы применили </w:t>
      </w:r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t-критерий Стьюдента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для парных значений определить внутригрупповые различия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кардиореспираторных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показателей физической подготовленности и мышечной силы до и после 10-недельного вмешательства.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Анализ ковариации (ANCOVA) был проведен для определения влияния групп (фиксированный фактор) на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кардиореспираторную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подготовленность и результаты мышечной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силы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т</w:t>
      </w:r>
      <w:proofErr w:type="spellEnd"/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. е.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(зависимая переменная) с поправкой на исходные значения (модель 1). Мы провели такой же анализ изменений в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МАКС. в относительном выражении максимальная частота сердечных сокращений, общая продолжительность теста, общий Хват руки, SJ, CMJ, ABKJ и DJ.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Bonferroni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post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hoc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тесты с поправкой на многократные сравнения. Были проведены дополнительные модели, контролирующие исходные значения и пол (модель 2), а также исходные значения и возраст (модель 3) (см. дополнительный файл </w:t>
      </w:r>
      <w:hyperlink r:id="rId93" w:anchor="MOESM1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).</w:t>
      </w:r>
    </w:p>
    <w:p w:rsidR="00243974" w:rsidRPr="00977D5F" w:rsidRDefault="00243974" w:rsidP="00243974">
      <w:pPr>
        <w:spacing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Уровень статистической значимости определялся при </w:t>
      </w:r>
      <w:proofErr w:type="spellStart"/>
      <w:proofErr w:type="gram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</w:t>
      </w:r>
      <w:proofErr w:type="spellEnd"/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Статистический анализ проводился в статистическом пакете для социальных наук (SPSS, V.25.0, IBM SPSS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Statistics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IBM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Corporation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), а графические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графики-в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GraphPad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Prism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5 (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GraphPad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Software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 Сан-Диего, Калифорния, США).</w:t>
      </w:r>
    </w:p>
    <w:p w:rsidR="00243974" w:rsidRPr="00977D5F" w:rsidRDefault="00243974" w:rsidP="00243974">
      <w:pPr>
        <w:pBdr>
          <w:bottom w:val="single" w:sz="12" w:space="7" w:color="D5D5D5"/>
        </w:pBd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color w:val="1B3051"/>
          <w:sz w:val="32"/>
          <w:szCs w:val="32"/>
          <w:lang w:eastAsia="ru-RU"/>
        </w:rPr>
      </w:pPr>
      <w:r w:rsidRPr="00977D5F">
        <w:rPr>
          <w:rFonts w:ascii="Trebuchet MS" w:eastAsia="Times New Roman" w:hAnsi="Trebuchet MS" w:cs="Times New Roman"/>
          <w:b/>
          <w:bCs/>
          <w:color w:val="1B3051"/>
          <w:sz w:val="32"/>
          <w:szCs w:val="32"/>
          <w:lang w:eastAsia="ru-RU"/>
        </w:rPr>
        <w:t>Результаты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В общей сложности 73 участника (35 женщин) были включены в анализ после потери контроля в размере 12% (см. </w:t>
      </w:r>
      <w:hyperlink r:id="rId94" w:anchor="Fig1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).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ИМТ, индекс массы тела; ЭКГ, электрокардиограмма; Т-пиво, группа, которая выполняла HIIT и потребляла алкогольное пиво; Т-0,0 пива, группа, которая выполняла HIIT и потребляла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безалкогольное пиво; Т-вода, группа, которая выполняла HIIT и потребляла газированную воду; Т-этанол, группа, которая выполняла HIIT и потребляла газированную воду с добавлением алкоголя.</w:t>
      </w:r>
      <w:proofErr w:type="gramEnd"/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Характеристики исследуемой популяции по полу приведены в </w:t>
      </w:r>
      <w:r w:rsidRPr="00450A2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Таблице </w:t>
      </w:r>
      <w:hyperlink r:id="rId95" w:anchor="Tab1" w:history="1">
        <w:r w:rsidRPr="00450A24">
          <w:rPr>
            <w:rFonts w:ascii="Times New Roman" w:eastAsia="Times New Roman" w:hAnsi="Times New Roman" w:cs="Times New Roman"/>
            <w:color w:val="004B83"/>
            <w:sz w:val="32"/>
            <w:szCs w:val="32"/>
            <w:highlight w:val="yellow"/>
            <w:u w:val="single"/>
            <w:lang w:eastAsia="ru-RU"/>
          </w:rPr>
          <w:t>1</w:t>
        </w:r>
      </w:hyperlink>
      <w:r w:rsidRPr="00450A2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. Никаких различий ни в исходных значениях, ни в тренировочном фонде между группами не наблюдалось. Данные о потреблении алкоголя в разных группах также были одинаковыми (</w:t>
      </w:r>
      <w:proofErr w:type="gramStart"/>
      <w:r w:rsidRPr="00450A24">
        <w:rPr>
          <w:rFonts w:ascii="Times New Roman" w:eastAsia="Times New Roman" w:hAnsi="Times New Roman" w:cs="Times New Roman"/>
          <w:i/>
          <w:iCs/>
          <w:sz w:val="32"/>
          <w:szCs w:val="32"/>
          <w:highlight w:val="yellow"/>
          <w:lang w:eastAsia="ru-RU"/>
        </w:rPr>
        <w:t>Р</w:t>
      </w:r>
      <w:proofErr w:type="gramEnd"/>
      <w:r w:rsidRPr="00450A2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 = 0,144; см. таблицу </w:t>
      </w:r>
      <w:hyperlink r:id="rId96" w:anchor="Tab1" w:history="1">
        <w:r w:rsidRPr="00450A24">
          <w:rPr>
            <w:rFonts w:ascii="Times New Roman" w:eastAsia="Times New Roman" w:hAnsi="Times New Roman" w:cs="Times New Roman"/>
            <w:color w:val="004B83"/>
            <w:sz w:val="32"/>
            <w:szCs w:val="32"/>
            <w:highlight w:val="yellow"/>
            <w:u w:val="single"/>
            <w:lang w:eastAsia="ru-RU"/>
          </w:rPr>
          <w:t>1</w:t>
        </w:r>
      </w:hyperlink>
      <w:r w:rsidRPr="00450A2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)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. Распределение числа мужчин и женщин было почти одинаковым в каждой группе.</w:t>
      </w:r>
    </w:p>
    <w:p w:rsidR="00243974" w:rsidRPr="00977D5F" w:rsidRDefault="00243974" w:rsidP="0024397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Таблица 1 описательные параметры перед программой вмешательства</w:t>
      </w:r>
    </w:p>
    <w:p w:rsidR="00243974" w:rsidRPr="00977D5F" w:rsidRDefault="00762D95" w:rsidP="00243974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97" w:history="1">
        <w:r w:rsidR="00243974" w:rsidRPr="00977D5F">
          <w:rPr>
            <w:rFonts w:ascii="Segoe UI" w:eastAsia="Times New Roman" w:hAnsi="Segoe UI" w:cs="Segoe UI"/>
            <w:b/>
            <w:bCs/>
            <w:color w:val="004B83"/>
            <w:sz w:val="32"/>
            <w:szCs w:val="32"/>
            <w:u w:val="single"/>
            <w:lang w:eastAsia="ru-RU"/>
          </w:rPr>
          <w:t>Полноразмерный стол</w:t>
        </w:r>
      </w:hyperlink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рис</w:t>
      </w:r>
      <w:hyperlink r:id="rId98" w:anchor="Fig2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. 2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показаны переменные, связанные с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пригодностью, до и после интервенционного исследования. Достоверное взаимодействие группы времени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x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было обнаружено в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макс. В абсолютных и относительных значениях (</w:t>
      </w:r>
      <w:proofErr w:type="gram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= 0,004 и </w:t>
      </w:r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= 0,002 соответственно), тогда как достоверное взаимодействие группы времени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x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было обнаружено в максимальной частоте сердечных сокращений и общей продолжительности теста (все </w:t>
      </w:r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&gt; 0,05). 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Макс. в абсолютном и относительном выражении увеличился во всех интервенция группы без влияния напитка на впуске (2730 ± 658 и 3192 ± 784 мл/мин у Т-пиво, 2718 ± 670 и 3134 ± 757 мл/мин для T-0.0 пиво, 2466 ± 351 и 2855 ± 563 мл/мин при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воды, 2554 ± 593 2994 и ± 709 мл/мин у Т-этанол абсолютный во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Макс.; все </w:t>
      </w:r>
      <w:proofErr w:type="spellStart"/>
      <w:proofErr w:type="gram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</w:t>
      </w:r>
      <w:proofErr w:type="spellEnd"/>
      <w:proofErr w:type="gramEnd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&lt; 0.001, рис. </w:t>
      </w:r>
      <w:hyperlink r:id="rId99" w:anchor="Fig2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А; и 38 ± 7 и 44 ± 7 мл/кг/мин для Т-пиво, 38 ± 4 против 43 ± 5 мл/кг/мин для T-0.0 пиво, 36 ± 5 и 41 ± 7 мл/кг/мин при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воды, и 37 ± 4 против 43 ± 4 мл/кг/мин для Т-этанол в относительном во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Макс.; все </w:t>
      </w:r>
      <w:proofErr w:type="spellStart"/>
      <w:proofErr w:type="gram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</w:t>
      </w:r>
      <w:proofErr w:type="spellEnd"/>
      <w:proofErr w:type="gramEnd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&lt; 0.001, рис. </w:t>
      </w:r>
      <w:hyperlink r:id="rId100" w:anchor="Fig2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б). Аналогичным образом, общая длительность теста значительно увеличилась во всех интервенция группы без влияния напитка на впуске (1125 ± 229 и 1269 ± 261 S для Т-пиво, 1051 ± 140 и 1189 ± 155 S для Т-0.0 пиво, и 1067 ± 192 и 1165 ± 211 S для Т-этанол; все </w:t>
      </w:r>
      <w:proofErr w:type="spellStart"/>
      <w:proofErr w:type="gram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</w:t>
      </w:r>
      <w:proofErr w:type="spellEnd"/>
      <w:proofErr w:type="gramEnd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&lt; 0.05, рис. </w:t>
      </w:r>
      <w:hyperlink r:id="rId101" w:anchor="Fig2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г). Ни в одном случае не было отмечено статистических различий в группе без обучения (все </w:t>
      </w:r>
      <w:proofErr w:type="gram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&gt; 0,05).</w:t>
      </w:r>
    </w:p>
    <w:p w:rsidR="00243974" w:rsidRPr="00977D5F" w:rsidRDefault="00243974" w:rsidP="0024397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Рис. 2</w:t>
      </w:r>
    </w:p>
    <w:p w:rsidR="00243974" w:rsidRPr="00977D5F" w:rsidRDefault="00243974" w:rsidP="0024397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noProof/>
          <w:color w:val="004B83"/>
          <w:sz w:val="32"/>
          <w:szCs w:val="32"/>
          <w:lang w:eastAsia="ru-RU"/>
        </w:rPr>
        <w:lastRenderedPageBreak/>
        <w:drawing>
          <wp:inline distT="0" distB="0" distL="0" distR="0">
            <wp:extent cx="5470053" cy="12167611"/>
            <wp:effectExtent l="19050" t="0" r="0" b="0"/>
            <wp:docPr id="2" name="Рисунок 2" descr="рис. 2">
              <a:hlinkClick xmlns:a="http://schemas.openxmlformats.org/drawingml/2006/main" r:id="rId1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. 2">
                      <a:hlinkClick r:id="rId1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024" cy="1217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974" w:rsidRPr="00977D5F" w:rsidRDefault="00243974" w:rsidP="00243974">
      <w:pPr>
        <w:spacing w:line="240" w:lineRule="auto"/>
        <w:rPr>
          <w:rFonts w:ascii="Georgia" w:eastAsia="Times New Roman" w:hAnsi="Georgia" w:cs="Times New Roman"/>
          <w:sz w:val="32"/>
          <w:szCs w:val="32"/>
          <w:lang w:eastAsia="ru-RU"/>
        </w:rPr>
      </w:pP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lastRenderedPageBreak/>
        <w:t>Изменения максимального поглощения кислорода (VO</w:t>
      </w:r>
      <w:r w:rsidRPr="00977D5F">
        <w:rPr>
          <w:rFonts w:ascii="Georgia" w:eastAsia="Times New Roman" w:hAnsi="Georgia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max) в абсолютном (</w:t>
      </w:r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а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 и относительном выражении (</w:t>
      </w:r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б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), максимальной частоты сердечных сокращений (в) и общей продолжительности теста (</w:t>
      </w:r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г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 до и после интервенционного исследования. </w:t>
      </w:r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-значение [время, группа и взаимодействие (время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x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 группа)] повторной меры дисперсионного анализа. **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&lt; 0,01, ***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 &lt; 0,001 для общей выборки,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ö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 &lt; 0,05,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öö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 &lt; 0,01,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ööö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,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 &lt; 0,001 для женщин,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å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 &lt; 0,05,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åå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&lt; 0,01, ÅÅ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 &lt; 0.001 для мужчин, полученной парный t-критерий Стьюдента. Данные показаны как средства. Сокращения: </w:t>
      </w:r>
      <w:proofErr w:type="gram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T-пиво, группа, которая выполнила HIIT и потребляла алкогольное пиво; T-0,0 пива, группа, которая выполнила HIIT и потребляла безалкогольное пиво; T-вода, группа, которая выполнила HIIT и потребляла газированную воду; T-этанол, группа, которая выполнила HIIT и потребляла газированную воду с добавлением алкоголя.</w:t>
      </w:r>
      <w:proofErr w:type="gramEnd"/>
    </w:p>
    <w:p w:rsidR="00243974" w:rsidRPr="00977D5F" w:rsidRDefault="00762D95" w:rsidP="00243974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104" w:history="1">
        <w:r w:rsidR="00243974" w:rsidRPr="00977D5F">
          <w:rPr>
            <w:rFonts w:ascii="Segoe UI" w:eastAsia="Times New Roman" w:hAnsi="Segoe UI" w:cs="Segoe UI"/>
            <w:b/>
            <w:bCs/>
            <w:color w:val="004B83"/>
            <w:sz w:val="32"/>
            <w:szCs w:val="32"/>
            <w:u w:val="single"/>
            <w:lang w:eastAsia="ru-RU"/>
          </w:rPr>
          <w:t>Полноразмерное изображение</w:t>
        </w:r>
      </w:hyperlink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рис</w:t>
      </w:r>
      <w:hyperlink r:id="rId105" w:anchor="Fig3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. 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показаны показатели мышечной силы и мощности до и после вмешательства. В СМЖ обнаружено значимое время Х группового взаимодействия (</w:t>
      </w:r>
      <w:proofErr w:type="gram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= 0,029, рис. </w:t>
      </w:r>
      <w:hyperlink r:id="rId106" w:anchor="Fig3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), в то время как в общей силе сцепления рук, SJ, ABKJ и DJ достоверности не наблюдалось (все </w:t>
      </w:r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&gt; 0,05, рис. </w:t>
      </w:r>
      <w:hyperlink r:id="rId107" w:anchor="Fig3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). Общая эффективность захвата рук достоверно увеличилась только в группе Т-0,0 (65,3 ± 20,1 против 68,9 ± 19,3 кг; </w:t>
      </w:r>
      <w:proofErr w:type="gram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= 0,0041, рис. </w:t>
      </w:r>
      <w:hyperlink r:id="rId108" w:anchor="Fig3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а), в то время как в остальных группах вмешательства не было обнаружено статистически значимых улучшений. Производительность SJ, CMJ и DJ увеличилась в группе пива T-0.0 (21,9 ± 4,7 против 24,2 ± 4,4 см для SJ, 21,6 ± 4,4 против 24,0 ± 4,8 см для CMJ и 25,2 ± 5,5 против 28,3 ± 4,3 см 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DJ; все 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hyperlink r:id="rId109" w:anchor="Fig3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b,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c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d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), а также в группе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T-Water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(24,6 ± 8,5 против 26,6 ± 8,3 см для SJ и 28,8 ± 9,8 против 32,0 ± 9,3 см для DJ; все 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hyperlink r:id="rId110" w:anchor="Fig3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</w:t>
        </w:r>
        <w:proofErr w:type="gramStart"/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Б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Е). В группе без обучения не было отмечено статистических различий для SJ, ABKJ и DJ (все </w:t>
      </w:r>
      <w:proofErr w:type="spell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&gt; 0,05), тогда как в СМЖ наблюдалось достоверное снижение (26,9 ± 8,2 против 25,3 ± 7,9 см; &gt; </w:t>
      </w:r>
      <w:proofErr w:type="gram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= 0,022, рис. </w:t>
      </w:r>
      <w:hyperlink r:id="rId111" w:anchor="Fig3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б).</w:t>
      </w:r>
    </w:p>
    <w:p w:rsidR="00243974" w:rsidRPr="00977D5F" w:rsidRDefault="00243974" w:rsidP="0024397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Рис. 3</w:t>
      </w:r>
    </w:p>
    <w:p w:rsidR="00243974" w:rsidRPr="00977D5F" w:rsidRDefault="00243974" w:rsidP="0024397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noProof/>
          <w:color w:val="004B83"/>
          <w:sz w:val="32"/>
          <w:szCs w:val="32"/>
          <w:lang w:eastAsia="ru-RU"/>
        </w:rPr>
        <w:lastRenderedPageBreak/>
        <w:drawing>
          <wp:inline distT="0" distB="0" distL="0" distR="0">
            <wp:extent cx="5384992" cy="6099672"/>
            <wp:effectExtent l="19050" t="0" r="6158" b="0"/>
            <wp:docPr id="3" name="Рисунок 3" descr="рис. 3">
              <a:hlinkClick xmlns:a="http://schemas.openxmlformats.org/drawingml/2006/main" r:id="rId1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. 3">
                      <a:hlinkClick r:id="rId1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917" cy="610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974" w:rsidRPr="00977D5F" w:rsidRDefault="00243974" w:rsidP="00243974">
      <w:pPr>
        <w:spacing w:line="240" w:lineRule="auto"/>
        <w:rPr>
          <w:rFonts w:ascii="Georgia" w:eastAsia="Times New Roman" w:hAnsi="Georgia" w:cs="Times New Roman"/>
          <w:sz w:val="32"/>
          <w:szCs w:val="32"/>
          <w:lang w:eastAsia="ru-RU"/>
        </w:rPr>
      </w:pP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Изменения в общем захвате рук (</w:t>
      </w:r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а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), прыжке на корточках (</w:t>
      </w:r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б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), прыжке против движени</w:t>
      </w:r>
      <w:proofErr w:type="gram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я(</w:t>
      </w:r>
      <w:proofErr w:type="gram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 в ), прыжке Абалакова (</w:t>
      </w:r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г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 и прыжке с падением (</w:t>
      </w:r>
      <w:proofErr w:type="spellStart"/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д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 до и после исследования вмешательства. </w:t>
      </w:r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-значение [время, группа и взаимодействие (время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x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 группа)] повторной меры дисперсионного анализа. *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&lt; 0,05; **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 &lt; 0,01 для общей выборки,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ö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 &lt; 0,05, для женщин,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å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&lt; 0,05 для мужчин, полученная парный t-критерий Стьюдента. Данные показаны как средства. Аббревиатуры: </w:t>
      </w:r>
      <w:proofErr w:type="gram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SJ, прыжок приседания; CMJ, прыжок против движения; ABKJ, прыжок Абалакова; DJ, прыжок падения; T-пиво, группа, которая выполняла HIIT и потребляла алкогольное пиво; T-пиво 0.0, группа, которая выполняла HIIT и потребляла безалкогольное пиво; T-вода, 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lastRenderedPageBreak/>
        <w:t>группа, которая выполняла HIIT и потребляла газированную воду; T-этанол, группа, которая выполняла HIIT и потребляла газированную воду с добавлением алкоголя.</w:t>
      </w:r>
      <w:proofErr w:type="gramEnd"/>
    </w:p>
    <w:p w:rsidR="00243974" w:rsidRPr="00977D5F" w:rsidRDefault="00762D95" w:rsidP="00243974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114" w:history="1">
        <w:r w:rsidR="00243974" w:rsidRPr="00977D5F">
          <w:rPr>
            <w:rFonts w:ascii="Segoe UI" w:eastAsia="Times New Roman" w:hAnsi="Segoe UI" w:cs="Segoe UI"/>
            <w:b/>
            <w:bCs/>
            <w:color w:val="004B83"/>
            <w:sz w:val="32"/>
            <w:szCs w:val="32"/>
            <w:u w:val="single"/>
            <w:lang w:eastAsia="ru-RU"/>
          </w:rPr>
          <w:t>Полноразмерное изображение</w:t>
        </w:r>
      </w:hyperlink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рис</w:t>
      </w:r>
      <w:hyperlink r:id="rId115" w:anchor="Fig4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. 4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показаны изменения показателей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пригодности после интервенционного исследования между пятью группами (всего мужчин и женщин). Группы вмешательства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T-Beer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T-0.0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Beer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T-Water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T-этанол аналогично увеличили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max. в абсолютном и относительном выражении по сравнению с группой без тренировки (все </w:t>
      </w:r>
      <w:proofErr w:type="gram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&lt; 0,05), без каких-либо существенных различий между ними (все </w:t>
      </w:r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&gt; 0,05). Результаты сохранились в группах женщин с пивом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T-Beer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пивом T-0.0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Beer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после анализа данных, разделенных по полу (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см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. дополнительный файл </w:t>
      </w:r>
      <w:hyperlink r:id="rId116" w:anchor="MOESM1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B и 1D). Во всех группах вмешательства наблюдалось аналогичное увеличение общей продолжительности теста по сравнению с группой без обучения, со статистическими различиями между группой женщин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T-Beer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против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группа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женщин, не прошедших обучение (см. дополнительный файл </w:t>
      </w:r>
      <w:hyperlink r:id="rId117" w:anchor="MOESM1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H). Результаты сохранились, когда анализы были дополнительно скорректированы на пол и возраст (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см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. дополнительный файл </w:t>
      </w:r>
      <w:hyperlink r:id="rId118" w:anchor="MOESM3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).</w:t>
      </w:r>
    </w:p>
    <w:p w:rsidR="00243974" w:rsidRPr="00977D5F" w:rsidRDefault="00243974" w:rsidP="0024397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Рис. 4</w:t>
      </w:r>
    </w:p>
    <w:p w:rsidR="00243974" w:rsidRPr="00977D5F" w:rsidRDefault="00243974" w:rsidP="0024397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noProof/>
          <w:color w:val="004B83"/>
          <w:sz w:val="32"/>
          <w:szCs w:val="32"/>
          <w:lang w:eastAsia="ru-RU"/>
        </w:rPr>
        <w:lastRenderedPageBreak/>
        <w:drawing>
          <wp:inline distT="0" distB="0" distL="0" distR="0">
            <wp:extent cx="6214428" cy="15323602"/>
            <wp:effectExtent l="19050" t="0" r="0" b="0"/>
            <wp:docPr id="4" name="Рисунок 4" descr="рис. 4">
              <a:hlinkClick xmlns:a="http://schemas.openxmlformats.org/drawingml/2006/main" r:id="rId1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. 4">
                      <a:hlinkClick r:id="rId1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803" cy="1533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974" w:rsidRPr="00977D5F" w:rsidRDefault="00243974" w:rsidP="00243974">
      <w:pPr>
        <w:spacing w:line="240" w:lineRule="auto"/>
        <w:rPr>
          <w:rFonts w:ascii="Georgia" w:eastAsia="Times New Roman" w:hAnsi="Georgia" w:cs="Times New Roman"/>
          <w:sz w:val="32"/>
          <w:szCs w:val="32"/>
          <w:lang w:eastAsia="ru-RU"/>
        </w:rPr>
      </w:pP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lastRenderedPageBreak/>
        <w:t>Изменения максимального поглощения кислорода (VO2max) в абсолютном (</w:t>
      </w:r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а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 и относительном выражении (</w:t>
      </w:r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б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), максимальной частоты сердечных сокращени</w:t>
      </w:r>
      <w:proofErr w:type="gram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й(</w:t>
      </w:r>
      <w:proofErr w:type="gram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 в) и общей продолжительности теста (</w:t>
      </w:r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г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) после интервенционного исследования между пятью группами. Достоверные различия между группами с применением анализа ковариации, скорректированной на исходные значения с помощью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post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hoc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 T-критерия </w:t>
      </w:r>
      <w:proofErr w:type="spell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Бонферрони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, указаны как: *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&lt; 0,05 **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&lt; 0,01, *** </w:t>
      </w:r>
      <w:proofErr w:type="spellStart"/>
      <w:r w:rsidRPr="00977D5F">
        <w:rPr>
          <w:rFonts w:ascii="Georgia" w:eastAsia="Times New Roman" w:hAnsi="Georgia" w:cs="Times New Roman"/>
          <w:i/>
          <w:iCs/>
          <w:sz w:val="32"/>
          <w:szCs w:val="32"/>
          <w:lang w:eastAsia="ru-RU"/>
        </w:rPr>
        <w:t>p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 &lt; 0.001. Данные представлены в виде средних значений ± Стандартная ошибка среднего. </w:t>
      </w:r>
      <w:proofErr w:type="gram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Сокращения: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ɳ</w:t>
      </w:r>
      <w:r w:rsidRPr="00977D5F">
        <w:rPr>
          <w:rFonts w:ascii="Georgia" w:eastAsia="Times New Roman" w:hAnsi="Georgia" w:cs="Georgia"/>
          <w:sz w:val="32"/>
          <w:szCs w:val="32"/>
          <w:lang w:eastAsia="ru-RU"/>
        </w:rPr>
        <w:t xml:space="preserve">2, частичный </w:t>
      </w:r>
      <w:proofErr w:type="spellStart"/>
      <w:r w:rsidRPr="00977D5F">
        <w:rPr>
          <w:rFonts w:ascii="Georgia" w:eastAsia="Times New Roman" w:hAnsi="Georgia" w:cs="Georgia"/>
          <w:sz w:val="32"/>
          <w:szCs w:val="32"/>
          <w:lang w:eastAsia="ru-RU"/>
        </w:rPr>
        <w:t>eta</w:t>
      </w:r>
      <w:proofErr w:type="spellEnd"/>
      <w:r w:rsidRPr="00977D5F">
        <w:rPr>
          <w:rFonts w:ascii="Georgia" w:eastAsia="Times New Roman" w:hAnsi="Georgia" w:cs="Georgia"/>
          <w:sz w:val="32"/>
          <w:szCs w:val="32"/>
          <w:lang w:eastAsia="ru-RU"/>
        </w:rPr>
        <w:t xml:space="preserve"> квадрат; T-пиво, группа, которая выполняла HIIT и потребляла алкогольное пиво; T-0.0 пиво, группа, которая выполняла HIIT и потребляла безалкого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льное пиво; T-вода, группа, которая выполняла HIIT и потребляла газированную воду; T-этанол, группа, которая выполняла HIIT и потребляла газированную воду с добавлением алкоголя.</w:t>
      </w:r>
      <w:proofErr w:type="gramEnd"/>
    </w:p>
    <w:p w:rsidR="00243974" w:rsidRPr="00977D5F" w:rsidRDefault="00762D95" w:rsidP="00243974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121" w:history="1">
        <w:r w:rsidR="00243974" w:rsidRPr="00977D5F">
          <w:rPr>
            <w:rFonts w:ascii="Segoe UI" w:eastAsia="Times New Roman" w:hAnsi="Segoe UI" w:cs="Segoe UI"/>
            <w:b/>
            <w:bCs/>
            <w:color w:val="004B83"/>
            <w:sz w:val="32"/>
            <w:szCs w:val="32"/>
            <w:u w:val="single"/>
            <w:lang w:eastAsia="ru-RU"/>
          </w:rPr>
          <w:t>Полноразмерное изображение</w:t>
        </w:r>
      </w:hyperlink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рис</w:t>
      </w:r>
      <w:hyperlink r:id="rId122" w:anchor="Fig5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. 5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показаны изменения мышечной силы и связанных с ней силовых переменных после интервенционного исследования среди пяти групп. Все интервенционные группы аналогичным образом улучшили общий Хват руки, SJ, CMJ, ABKJ и DJ показатели по сравнению с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нетренировочной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группой, причем статистических различий между ними не было (все </w:t>
      </w:r>
      <w:proofErr w:type="gramStart"/>
      <w:r w:rsidRPr="00977D5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&gt; 0,05). Результаты сохранились во всех случаях, когда пол и возраст были включены в качестве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ковариаты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(см. дополнительный файл </w:t>
      </w:r>
      <w:hyperlink r:id="rId123" w:anchor="MOESM3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).</w:t>
      </w:r>
    </w:p>
    <w:p w:rsidR="00243974" w:rsidRPr="00977D5F" w:rsidRDefault="00243974" w:rsidP="0024397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Рис. 5</w:t>
      </w:r>
    </w:p>
    <w:p w:rsidR="00243974" w:rsidRPr="00977D5F" w:rsidRDefault="00243974" w:rsidP="0024397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noProof/>
          <w:color w:val="004B83"/>
          <w:sz w:val="32"/>
          <w:szCs w:val="32"/>
          <w:lang w:eastAsia="ru-RU"/>
        </w:rPr>
        <w:lastRenderedPageBreak/>
        <w:drawing>
          <wp:inline distT="0" distB="0" distL="0" distR="0">
            <wp:extent cx="5214871" cy="6567413"/>
            <wp:effectExtent l="19050" t="0" r="4829" b="0"/>
            <wp:docPr id="5" name="Рисунок 5" descr="рис. 5">
              <a:hlinkClick xmlns:a="http://schemas.openxmlformats.org/drawingml/2006/main" r:id="rId1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. 5">
                      <a:hlinkClick r:id="rId1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703" cy="657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974" w:rsidRPr="00977D5F" w:rsidRDefault="00243974" w:rsidP="00243974">
      <w:pPr>
        <w:spacing w:line="240" w:lineRule="auto"/>
        <w:rPr>
          <w:rFonts w:ascii="Georgia" w:eastAsia="Times New Roman" w:hAnsi="Georgia" w:cs="Times New Roman"/>
          <w:sz w:val="32"/>
          <w:szCs w:val="32"/>
          <w:lang w:eastAsia="ru-RU"/>
        </w:rPr>
      </w:pP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Изменения в общем захвате руки (</w:t>
      </w:r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а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), прыжке приседания (</w:t>
      </w:r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б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), прыжке встречного движени</w:t>
      </w:r>
      <w:proofErr w:type="gram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я(</w:t>
      </w:r>
      <w:proofErr w:type="gram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 в ), прыжке Абалакова (</w:t>
      </w:r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г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 и прыжке падения (</w:t>
      </w:r>
      <w:proofErr w:type="spellStart"/>
      <w:r w:rsidRPr="00977D5F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д</w:t>
      </w:r>
      <w:proofErr w:type="spell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>), после интервенционного исследования между пятью группами. Данные представлены в виде среднего значения ± Стандартная ошибка среднего. </w:t>
      </w:r>
      <w:proofErr w:type="gramStart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Сокращения: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ɳ</w:t>
      </w:r>
      <w:r w:rsidRPr="00977D5F">
        <w:rPr>
          <w:rFonts w:ascii="Georgia" w:eastAsia="Times New Roman" w:hAnsi="Georgia" w:cs="Georgia"/>
          <w:sz w:val="32"/>
          <w:szCs w:val="32"/>
          <w:lang w:eastAsia="ru-RU"/>
        </w:rPr>
        <w:t xml:space="preserve">2, частичный </w:t>
      </w:r>
      <w:proofErr w:type="spellStart"/>
      <w:r w:rsidRPr="00977D5F">
        <w:rPr>
          <w:rFonts w:ascii="Georgia" w:eastAsia="Times New Roman" w:hAnsi="Georgia" w:cs="Georgia"/>
          <w:sz w:val="32"/>
          <w:szCs w:val="32"/>
          <w:lang w:eastAsia="ru-RU"/>
        </w:rPr>
        <w:t>eta</w:t>
      </w:r>
      <w:proofErr w:type="spellEnd"/>
      <w:r w:rsidRPr="00977D5F">
        <w:rPr>
          <w:rFonts w:ascii="Georgia" w:eastAsia="Times New Roman" w:hAnsi="Georgia" w:cs="Georgia"/>
          <w:sz w:val="32"/>
          <w:szCs w:val="32"/>
          <w:lang w:eastAsia="ru-RU"/>
        </w:rPr>
        <w:t xml:space="preserve"> квадрат; SJ, прыжок на корточках; CMJ, прыжок против движения; ABKJ, 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прыжок Абалакова; DJ, прыжок падения; T-пиво, группа, которая выполнила HIIT и потребляла алкогольное пиво; T-0,0 пива, группа, которая выполнила HIIT и потребляла безалкогольное пиво; T-вода, группа, которая выполнила </w:t>
      </w:r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lastRenderedPageBreak/>
        <w:t>HIIT и потребляла газированную воду;</w:t>
      </w:r>
      <w:proofErr w:type="gramEnd"/>
      <w:r w:rsidRPr="00977D5F">
        <w:rPr>
          <w:rFonts w:ascii="Georgia" w:eastAsia="Times New Roman" w:hAnsi="Georgia" w:cs="Times New Roman"/>
          <w:sz w:val="32"/>
          <w:szCs w:val="32"/>
          <w:lang w:eastAsia="ru-RU"/>
        </w:rPr>
        <w:t xml:space="preserve"> T-этанол, группа, которая выполнила HIIT и потребляла газированную воду с добавлением алкоголя.</w:t>
      </w:r>
    </w:p>
    <w:p w:rsidR="00243974" w:rsidRPr="00977D5F" w:rsidRDefault="00762D95" w:rsidP="00243974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126" w:history="1">
        <w:r w:rsidR="00243974" w:rsidRPr="00977D5F">
          <w:rPr>
            <w:rFonts w:ascii="Segoe UI" w:eastAsia="Times New Roman" w:hAnsi="Segoe UI" w:cs="Segoe UI"/>
            <w:b/>
            <w:bCs/>
            <w:color w:val="004B83"/>
            <w:sz w:val="32"/>
            <w:szCs w:val="32"/>
            <w:u w:val="single"/>
            <w:lang w:eastAsia="ru-RU"/>
          </w:rPr>
          <w:t>Полноразмерное изображение</w:t>
        </w:r>
      </w:hyperlink>
    </w:p>
    <w:p w:rsidR="00243974" w:rsidRPr="00977D5F" w:rsidRDefault="00243974" w:rsidP="00243974">
      <w:pPr>
        <w:pBdr>
          <w:bottom w:val="single" w:sz="12" w:space="7" w:color="D5D5D5"/>
        </w:pBd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color w:val="1B3051"/>
          <w:sz w:val="32"/>
          <w:szCs w:val="32"/>
          <w:lang w:eastAsia="ru-RU"/>
        </w:rPr>
      </w:pPr>
      <w:r w:rsidRPr="00977D5F">
        <w:rPr>
          <w:rFonts w:ascii="Trebuchet MS" w:eastAsia="Times New Roman" w:hAnsi="Trebuchet MS" w:cs="Times New Roman"/>
          <w:b/>
          <w:bCs/>
          <w:color w:val="1B3051"/>
          <w:sz w:val="32"/>
          <w:szCs w:val="32"/>
          <w:lang w:eastAsia="ru-RU"/>
        </w:rPr>
        <w:t>Обсуждение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 исследование показывает, что 10-недельное структурированное и очень требовательное упражнение улучшает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кардиореспираторную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физическую форму и силу захвата рук у здоровых взрослых. На это не повлияло одновременное ежедневное потребление пива или этанола в умеренных количествах. Никаких существенных улучшений в показателях мышечной силы обнаружено не было. Таким образом, умеренное и ежедневное потребление пива во время еды, как и в настоящем исследовании, по-видимому, не является проблемой, влияющей на такие параметры физической подготовленности, как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кардиореспираторная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подготовленность и мышечная сила после программы HIIT у здоровых молодых людей.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Многочисленные исследования сообщили о надежных доказательствах того, что HIIT индуцирует улучшение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пригодности [</w:t>
      </w:r>
      <w:hyperlink r:id="rId127" w:anchor="ref-CR5" w:tooltip="Bacon AP, Carter RE, Ogle EA, Joyner MJ. VO2max trainability and high intensity interval training in humans: a meta-analysis. PLoS One. 2013;8:e73182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128" w:anchor="ref-CR6" w:tooltip="Sloth M, Sloth D, Overgaard K, Dalgas U. влияние спринтерской интервальной тренировки на VO 2max и производительность аэробных упражнений: систематический обзор и метаанализ. Scand J Med Sci Sports. 2013;23:e341–52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6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129" w:anchor="ref-CR7" w:tooltip="Уэстон м, Тейлор КЛ, Баттерхэм АМ, Хопкинс РГ. Влияние низкообъемных высокоинтенсивных интервальных тренировок (HIT) на физическую форму взрослых: метаанализ контролируемых и неконтролируемых исследований. Sports Med. 2014;44:1005-17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7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130" w:anchor="ref-CR8" w:tooltip="Миланович З., спорыш г., Уэстон М. эффективность высокоинтенсивной интервальной тренировки (HIT) и непрерывной тренировки на выносливость для улучшения VO2max: систематический обзор и метаанализ контролируемых исследований. Sports Med. 2015;45:1469-81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8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]. В 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недавнем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мета-анализе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Weston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et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al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. [</w:t>
      </w:r>
      <w:hyperlink r:id="rId131" w:anchor="ref-CR7" w:tooltip="Уэстон м, Тейлор КЛ, Баттерхэм АМ, Хопкинс РГ. Влияние низкообъемных высокоинтенсивных интервальных тренировок (HIT) на физическую форму взрослых: метаанализ контролируемых и неконтролируемых исследований. Sports Med. 2014;44:1005-17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7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 пришли к выводу, что малообъемный HIIT приводит к умеренному улучшению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max. у активных не спортивных и сидячих субъектов. Эти выводы согласуются с данными, полученными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Милановичем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др. [</w:t>
      </w:r>
      <w:hyperlink r:id="rId132" w:anchor="ref-CR8" w:tooltip="Миланович З., Спориш г., Уэстон М. эффективность высокоинтенсивной интервальной тренировки (HIT) и непрерывной тренировки выносливости для улучшения VO2max: систематический обзор и метаанализ контролируемых исследований. Sports Med. 2015;45:1469-81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8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], которые сообщили в своем систематическом обзоре и </w:t>
      </w:r>
      <w:proofErr w:type="spellStart"/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мета-анализе</w:t>
      </w:r>
      <w:proofErr w:type="spellEnd"/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 что HIIT выявляет улучшения в во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максимальное количество здоровых, молодых и взрослых людей среднего возраста, демонстрирующих больший прирост после HIIT, чем при непрерывной тренировке на выносливость. В соответствии с этим мы показали, что Группы Т-0,0 пива и т-воды увеличили 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свой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max. в абсолютном и относительном выражении после 10-недельной программы вмешательства HIIT. 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Таким образом, наши результаты имеют большое значение для общественного здравоохранения из-за сильной и положительной связи между улучшением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max. и снижением риска заболеваемости и смертности [</w:t>
      </w:r>
      <w:hyperlink r:id="rId133" w:anchor="ref-CR1" w:tooltip="Кастильо-Гарсон М. Дж., Руис-младший, Ортега Ф. Б., Гутьеррес А. антивозрастная терапия через повышение физической формы. Старение: Клин. Interv; 2006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134" w:anchor="ref-CR3" w:tooltip="Evaristo S, Moreira C, Lopes L, Oliveira A, Abreu S, Agostinis-Sobrinho C, Oliveira-Santos J, Póvoas S, Santos R, Mota J. Мышечная тренированность и кардиореспираторная тренированность связаны с качеством жизни, связанным со здоровьем: результаты исследования 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], что улучшает здоровье, самочувствие и работоспособность [</w:t>
      </w:r>
      <w:hyperlink r:id="rId135" w:anchor="ref-CR15" w:tooltip="Castillo Garzón MJ, Ortega Porcel FB, Ruiz Ruiz J. Mejora de la forma física como terapia antienvejecimiento. Мед Клин (Barc). 2005;124:146–55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15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136" w:anchor="ref-CR16" w:tooltip="Хиллз-АП, стрит-Си-Джей, Бирн-Нью-Йорк. Физическая активность и здоровье: “что старое, то снова новое”. Adv Food Nutr Res. 2015;75:77-95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16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hyperlink r:id="rId137" w:anchor="ref-CR17" w:tooltip="Christiansen LB, Lund-Cramer P, Brondeel R, Smedegaard S, Holt A-D, Skovgaard T. улучшение физического самовосприятия детей с помощью школьной физической активности: шаг к благополучию в школьном исследовании. Ment Health Phys Act. 2018;14:31-8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17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proofErr w:type="gramEnd"/>
      <w:r w:rsidR="00762D95" w:rsidRPr="00977D5F">
        <w:rPr>
          <w:sz w:val="32"/>
          <w:szCs w:val="32"/>
        </w:rPr>
        <w:fldChar w:fldCharType="begin"/>
      </w:r>
      <w:r w:rsidR="00762D95" w:rsidRPr="00977D5F">
        <w:rPr>
          <w:sz w:val="32"/>
          <w:szCs w:val="32"/>
        </w:rPr>
        <w:instrText>HYPERLINK "https://jissn.biomedcentral.com/articles/10.1186/s12970-020-00356-7" \l "ref-CR18" \o "Gibala MJ, Little JP, Van Essen M, Wilkin GP, Burgomaster KA, Safdar A, Raha S, Tarnopolsky MA. краткосрочный спринтерский интервал в сравнении с традиционной тренировкой на выносливость: аналогичные начальные адаптации в скелетной мышце человека и выполнении "</w:instrText>
      </w:r>
      <w:r w:rsidR="00762D95" w:rsidRPr="00977D5F">
        <w:rPr>
          <w:sz w:val="32"/>
          <w:szCs w:val="32"/>
        </w:rPr>
        <w:fldChar w:fldCharType="separate"/>
      </w:r>
      <w:r w:rsidRPr="00977D5F">
        <w:rPr>
          <w:rFonts w:ascii="Times New Roman" w:eastAsia="Times New Roman" w:hAnsi="Times New Roman" w:cs="Times New Roman"/>
          <w:color w:val="004B83"/>
          <w:sz w:val="32"/>
          <w:szCs w:val="32"/>
          <w:u w:val="single"/>
          <w:lang w:eastAsia="ru-RU"/>
        </w:rPr>
        <w:t>18</w:t>
      </w:r>
      <w:r w:rsidR="00762D95" w:rsidRPr="00977D5F">
        <w:rPr>
          <w:sz w:val="32"/>
          <w:szCs w:val="32"/>
        </w:rPr>
        <w:fldChar w:fldCharType="end"/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Хотя большинство исследований было сосредоточено на взаимосвязи между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подготовкой и результатами для здоровья, некоторые исследования в последнее время сосредоточились на мышечной подготовке. Недавние исследования показали, что высокий уровень мышечной подготовленности связан со снижением </w:t>
      </w:r>
      <w:proofErr w:type="spellStart"/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сердечно-сосудистого</w:t>
      </w:r>
      <w:proofErr w:type="spellEnd"/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риска, а также благоприятно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коррелирует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 улучшением здоровья костей, повышением самооценки и снижением ожирения [</w:t>
      </w:r>
      <w:hyperlink r:id="rId138" w:anchor="ref-CR3" w:tooltip="Evaristo S, Moreira C, Lopes L, Oliveira A, Abreu S, Agostinis-Sobrinho C, Oliveira-Santos J, Póvoas S, Santos R, Mota J. Мышечная тренированность и кардиореспираторная тренированность связаны с качеством жизни, связанным со здоровьем: результаты исследования 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]. 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Недавнее исследование показало, что 12-недельное вмешательство HIIT, использующее вес тела в качестве нагрузки, улучшает мышечную силу у молодых женщин [</w:t>
      </w:r>
      <w:hyperlink r:id="rId139" w:anchor="ref-CR54" w:tooltip="Carneiro MAS, de Oliveira AA, Martins FM, Souza AP, Nunes PRP, Orsatti FL. Высокоинтенсивная интервальная тренировка веса тела способствует различным адаптациям к комбинированным тренировкам по составу тела и мышечной силе у молодых женщин. Sci Sports. 2018;33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54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Эти результаты согласуются с результатами, полученными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Amaro-Gahete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et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al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., которые обнаружили, что 12-недельное вмешательство HIIT с массой тела улучшает пиковый крутящий момент разгибания и сгибания и силу захвата рук у взрослых среднего возраста [</w:t>
      </w:r>
      <w:hyperlink r:id="rId140" w:anchor="ref-CR55" w:tooltip="Amaro-Gahete FJ, De-la-O A, Jurado-Fasoli L, Dote-Montero M, Gutierrez Á, Ruiz JR, Castillo MJ. изменения в физической форме после 12 недель структурированных параллельных тренировок, высокоинтенсивных интервальных тренировок или тренировок электромиостимуляци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55].</w:t>
        </w:r>
        <w:proofErr w:type="gramEnd"/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Представленные результаты свидетельствуют о том, что 10-недельное вмешательство HIIT улучшает мышечную силу (~ 5%, в группах пива T-0.0 и воды T-0.0), измеряемую с помощью теста захвата руки. 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 другой стороны,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Weston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et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al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. [</w:t>
      </w:r>
      <w:hyperlink r:id="rId141" w:anchor="ref-CR7" w:tooltip="Уэстон м, Тейлор КЛ, Баттерхэм АМ, Хопкинс РГ. Влияние низкообъемных высокоинтенсивных интервальных тренировок (HIT) на физическую форму взрослых: метаанализ контролируемых и неконтролируемых исследований. Sports Med. 2014;44:1005-17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7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он предположил, что низкий объем HIIT оказывает неясное влияние на мышечную силу, которое может быть, самое большее, либо умеренно полезным, либо умеренно вредным эффектом.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Наши результаты не показали статистически значимого увеличения с 5 до 12% в трех типах прыжков теста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Bosco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показав более легкие улучшения ABKJ (1,8% для группы пива T-0.0 и 5,6% для группы воды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T-Water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) после 10-недельного вмешательства HIIT.</w:t>
      </w:r>
    </w:p>
    <w:p w:rsidR="00243974" w:rsidRPr="00977D5F" w:rsidRDefault="00243974" w:rsidP="00243974">
      <w:pPr>
        <w:spacing w:after="36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0A2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В большинстве литературных источников не удалось установить значимой причинно-следственной связи алкоголя с аэробными или анаэробными показателями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 В то время как некоторые исследования не обнаружили существенных последствий алкоголя для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субмаксимальной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выносливости [</w:t>
      </w:r>
      <w:hyperlink r:id="rId142" w:anchor="ref-CR56" w:tooltip="Бонд В. влияние малых и умеренных доз алкоголя на субмаксимальную кардиореспираторную функцию, воспринимаемую нагрузку и выносливость у абстинентов и умеренно пьющих. J Sport Med. 1983;23:221-8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56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143" w:anchor="ref-CR57" w:tooltip="Houmard JA, Langenfeld ME, Wiley RL, Siefert J. влияние острого приема небольшого количества алкоголя на время пробега 5 миль. J Sports Med Phys Fitness. 1987;27:253-7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57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], другие исследования предположили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,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 алкоголь вреден для выносливости [</w:t>
      </w:r>
      <w:hyperlink r:id="rId144" w:anchor="ref-CR19" w:tooltip="О'Брайен К. П., Лайонс Ф. алкоголь и спортсмен. Sports Med. 2000;29:295-300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19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145" w:anchor="ref-CR58" w:tooltip="Велла Л. Д., Кэмерон-Смит Д. Алкоголь, спортивные показатели и восстановление. Питательные вещества. 2010;2:781–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58].</w:t>
        </w:r>
      </w:hyperlink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соответствии с </w:t>
      </w:r>
      <w:r w:rsidRPr="00450A2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этим наши результаты показали, что ежедневное, но умеренное потребление пива или эквивалентного количества этанола не оказывало вредного влияния на </w:t>
      </w:r>
      <w:proofErr w:type="spellStart"/>
      <w:r w:rsidRPr="00450A2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кардиореспираторные</w:t>
      </w:r>
      <w:proofErr w:type="spellEnd"/>
      <w:r w:rsidRPr="00450A2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 </w:t>
      </w:r>
      <w:proofErr w:type="spellStart"/>
      <w:r w:rsidRPr="00450A2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фитнес-переменные</w:t>
      </w:r>
      <w:proofErr w:type="spellEnd"/>
      <w:r w:rsidRPr="00450A2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,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связанные с Т-пивом и Т-этанолом, поскольку Группы Т-пива и Т-этанола демонстрировали сходные улучшения в VO</w:t>
      </w:r>
      <w:r w:rsidRPr="00977D5F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2.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максимальные в абсолютном (17% для T-пива и 17,7% для T-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этанола) и в относительном выражении (16,3 и 16,8% соответственно) по отношению к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группам свободного алкоголя. На самом деле идет дискуссия о том, Зависит ли возможное благотворное воздействие ферментированных напитков от алкогольных или безалкогольных компонентов. 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Описательный обзор пришел к выводу, что защитные эффекты, возникающие в результате умеренного потребления вина или пива, обусловлены как их алкогольными, так и полифенольными компонентами [</w:t>
      </w:r>
      <w:hyperlink r:id="rId146" w:anchor="ref-CR59" w:tooltip="Arranz S, Chiva-Blanch G, Valderas-Martínez P, Medina-Remón A, Lamuela-Raventós RM, Estruch R. вино, пиво, алкоголь и полифенолы при сердечно-сосудистых заболеваниях и раке. 2012;4:759-81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59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Некоторые исследователи исследовали влияние острого потребления алкоголя на восстановление скелетных мышц и его влияние на синтез белка [</w:t>
      </w:r>
      <w:hyperlink r:id="rId147" w:anchor="ref-CR28" w:tooltip="Барнс М. Дж. Алкоголь: влияние на спортивную работоспособность и восстановление у спортсменов-мужчин. Sports Med. 2014;44:909-1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28 ].</w:t>
        </w:r>
        <w:proofErr w:type="gramEnd"/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Poulsen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et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al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. [</w:t>
      </w:r>
      <w:hyperlink r:id="rId148" w:anchor="ref-CR60" w:tooltip="Poulsen MB, Jakobsen J, Aagaard NK, Andersen H. двигательная активность во время и после острой алкогольной интоксикации у здоровых неалкогольных субъектов. Eur J Appl Physiol. 2007;101:513–23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60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 </w:t>
      </w:r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предположили, что на мышечную силу не влияет умеренная алкогольная интоксикация у здоровых людей. </w:t>
      </w:r>
      <w:proofErr w:type="gramStart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Наши результаты согласуются с этими выводами, поскольку в группах Т-пива и Т-этанола не было обнаружено никаких вредных эффектов; в отличие от ожидаемых, эти группы, потребляющие алкоголь, показали увеличение силы захвата руки на ~ 3,5 кг, но без статистически значимых различий.</w:t>
      </w:r>
      <w:proofErr w:type="gramEnd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 С другой стороны, сообщалось, что большое количество алкоголя, потребляемого сразу после длительной физической нагрузки, было связано с нарушениями углеводного и липидного обмена, что свидетельствует о косвенном вредном влиянии алкоголя на синтез мышечного гликогена [</w:t>
      </w:r>
      <w:hyperlink r:id="rId149" w:anchor="ref-CR22" w:tooltip="Берк Л. М., Моэн Р. Дж. Моэн АРДЖИ, редактор. Алкоголь в спорте. Oxford: Blackwell science ltd; 2000. Том. VII; ISBN 9780470693766." w:history="1">
        <w:r w:rsidRPr="00F22CA4">
          <w:rPr>
            <w:rFonts w:ascii="Times New Roman" w:eastAsia="Times New Roman" w:hAnsi="Times New Roman" w:cs="Times New Roman"/>
            <w:color w:val="004B83"/>
            <w:sz w:val="32"/>
            <w:szCs w:val="32"/>
            <w:highlight w:val="yellow"/>
            <w:u w:val="single"/>
            <w:lang w:eastAsia="ru-RU"/>
          </w:rPr>
          <w:t>22</w:t>
        </w:r>
      </w:hyperlink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]. </w:t>
      </w:r>
      <w:proofErr w:type="gramStart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Однако некоторые авторы обнаружили, что низкие дозы алкоголя, проглоченные после напряженных повреждающих упражнений, не оказывают влияния на вызванные физическими упражнениями потери мышечной производительности [</w:t>
      </w:r>
      <w:hyperlink r:id="rId150" w:anchor="ref-CR61" w:tooltip="Барнс М. Дж., Мандел т., Станнард-старший. Острое употребление алкоголя усугубляет снижение мышечной активности после интенсивных эксцентрических упражнений. J Sci Med Sport. 2010;13(1):189-93." w:history="1">
        <w:r w:rsidRPr="00F22CA4">
          <w:rPr>
            <w:rFonts w:ascii="Times New Roman" w:eastAsia="Times New Roman" w:hAnsi="Times New Roman" w:cs="Times New Roman"/>
            <w:color w:val="004B83"/>
            <w:sz w:val="32"/>
            <w:szCs w:val="32"/>
            <w:highlight w:val="yellow"/>
            <w:u w:val="single"/>
            <w:lang w:eastAsia="ru-RU"/>
          </w:rPr>
          <w:t>61</w:t>
        </w:r>
      </w:hyperlink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], а также что алкоголь может оказывать незначительное или полное отсутствие влияния на </w:t>
      </w:r>
      <w:proofErr w:type="spellStart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ресинтез</w:t>
      </w:r>
      <w:proofErr w:type="spellEnd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 мышечного гликогена после тренировки у спортсменов-мужчин [</w:t>
      </w:r>
      <w:hyperlink r:id="rId151" w:anchor="ref-CR28" w:tooltip="Барнс-Эм-Джей. Алкоголь: влияние на спортивную работоспособность и восстановление у спортсменов-мужчин. Sports Med. 2014;44:909-19." w:history="1">
        <w:r w:rsidRPr="00F22CA4">
          <w:rPr>
            <w:rFonts w:ascii="Times New Roman" w:eastAsia="Times New Roman" w:hAnsi="Times New Roman" w:cs="Times New Roman"/>
            <w:color w:val="004B83"/>
            <w:sz w:val="32"/>
            <w:szCs w:val="32"/>
            <w:highlight w:val="yellow"/>
            <w:u w:val="single"/>
            <w:lang w:eastAsia="ru-RU"/>
          </w:rPr>
          <w:t>28</w:t>
        </w:r>
      </w:hyperlink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Кроме того, наши предыдущие результаты показали, что ежедневное потребление умеренного количества пива или алкоголя не ухудшало</w:t>
      </w:r>
      <w:proofErr w:type="gramEnd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 прирост мышечной массы после 10-недельного вмешательства HIIT [</w:t>
      </w:r>
      <w:hyperlink r:id="rId152" w:anchor="ref-CR62" w:tooltip="Молина-Идальго с, Де-Ла-О а, Хурадо-фасоли л, Амаро-Гахете ФЖ, Кастильо МЖ, Молина-Идальго с, Де-Ла-О а, Хурадо-фасоли л, Амаро-Гахете ФЖ, Кастильо МЖ.  Исследование &quot;пиво-ХИИТ&quot;. 2019;11:909." w:history="1">
        <w:r w:rsidRPr="00F22CA4">
          <w:rPr>
            <w:rFonts w:ascii="Times New Roman" w:eastAsia="Times New Roman" w:hAnsi="Times New Roman" w:cs="Times New Roman"/>
            <w:color w:val="004B83"/>
            <w:sz w:val="32"/>
            <w:szCs w:val="32"/>
            <w:highlight w:val="yellow"/>
            <w:u w:val="single"/>
            <w:lang w:eastAsia="ru-RU"/>
          </w:rPr>
          <w:t>62].</w:t>
        </w:r>
      </w:hyperlink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 Интересно, что в группах </w:t>
      </w:r>
      <w:proofErr w:type="spellStart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T-Beer</w:t>
      </w:r>
      <w:proofErr w:type="spellEnd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, T-0.0 </w:t>
      </w:r>
      <w:proofErr w:type="spellStart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Beer</w:t>
      </w:r>
      <w:proofErr w:type="spellEnd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 и </w:t>
      </w:r>
      <w:proofErr w:type="spellStart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T-Water</w:t>
      </w:r>
      <w:proofErr w:type="spellEnd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 женщины показали улучшения без статистической значимости в SJ, </w:t>
      </w:r>
      <w:proofErr w:type="spellStart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Abalakov</w:t>
      </w:r>
      <w:proofErr w:type="spellEnd"/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 xml:space="preserve"> и DJ, в то время как группа T-этанола показала снижение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 всех из них, хотя и без статистической значимости. Аналогичные нарушения были обнаружены в CMJ для группы мужчин с Т-этанолом. 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Вопреки нашим результатам,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Левитт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др. [</w:t>
      </w:r>
      <w:hyperlink r:id="rId153" w:anchor="ref-CR63" w:tooltip="Levitt DE, Luk H-Y, Duplanty AA, McFarlin BK, Hill DW, Vingren JL. влияние алкоголя после повреждающих мышцы резистентных упражнений на восстановление мышечной работоспособности и воспалительную способность у женщин. Eur J Appl Physiol. 2017;117:1195–206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63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они обнаружили, что употребление алкоголя после напряженно-эксцентрических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упражнений с отягощениями не влияет на восстановление работоспособности у молодых женщин, тренирующихся с отягощениями в рекреационном режиме.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 Кроме того, эти авторы [</w:t>
      </w:r>
      <w:hyperlink r:id="rId154" w:anchor="ref-CR31" w:tooltip="Левитт де и др. Алкоголь после резистентных упражнений не влияет на восстановление мышечной силы. J Strength Cond Res. 2018. &#10; https://doi.org/10.1519/JSC.0000000000002455&#10;&#10;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31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 обнаружили, что потребление умеренно высокой дозы алкоголя после интенсивных упражнений с отягощениями не влияет на восстановление высоты вертикального прыжка у тренированных с отягощениями мужчин. В соответствии с нашими выводами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Barnes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et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al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. [</w:t>
      </w:r>
      <w:hyperlink r:id="rId155" w:anchor="ref-CR30" w:tooltip="Barnes MJ, Mündel T, Stannard SR. Низкая доза алкоголя не влияет на работу скелетных мышц после повреждения мышц, вызванного физическими упражнениями. Eur J Appl Physiol. 2011;111(4):725–9." w:history="1">
        <w:r w:rsidRPr="00977D5F">
          <w:rPr>
            <w:rFonts w:ascii="Times New Roman" w:eastAsia="Times New Roman" w:hAnsi="Times New Roman" w:cs="Times New Roman"/>
            <w:color w:val="004B83"/>
            <w:sz w:val="32"/>
            <w:szCs w:val="32"/>
            <w:u w:val="single"/>
            <w:lang w:eastAsia="ru-RU"/>
          </w:rPr>
          <w:t>30</w:t>
        </w:r>
      </w:hyperlink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 </w:t>
      </w:r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установили, что потребление умеренно высокой дозы алкоголя (1 г этанола кг</w:t>
      </w:r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vertAlign w:val="superscript"/>
          <w:lang w:eastAsia="ru-RU"/>
        </w:rPr>
        <w:t>− 1</w:t>
      </w:r>
      <w:r w:rsidRPr="00F22CA4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 масса тела) после эксцентрических упражнений отрицательно влияла на восстановление силы у здоровых мужчин. Результаты настоящего исследования неубедительны, поскольку в других группах вмешательства не было обнаружено значительных улучшений мышечной силы. Поэтому необходимы дальнейшие исследования для изучения эффективности программы САМОНАГРУЗКИ HIIT на мышечную силу и возможного сопутствующего влияния приема алкоголя. Кроме того, необходимы будущие исследования, чтобы выяснить, по-разному ли потребление алкоголя влияет на женщин и мужчин.</w:t>
      </w:r>
    </w:p>
    <w:p w:rsidR="00243974" w:rsidRPr="00977D5F" w:rsidRDefault="00243974" w:rsidP="00243974">
      <w:pPr>
        <w:spacing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Хотя наше исследование показало, что 10-недельное вмешательство HIIT может вызвать улучшение мышечной силы, а также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кардиореспираторной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пригодности и что эти улучшения не смягчаются приемом пива или этанола, оно представляет некоторые ограничения. Во-первых, объем выборки был относительно невелик для изучения влияния различных алкогольных напитков в умеренных количествах во время физкультурно-тренировочного вмешательства на показатели физической подготовленности. Учитывая, что мы сравнили в общей сложности четыре различных типа употребляемых напитков, будущие исследования могут повторить это исследование в более крупных клинических испытаниях. Во-вторых, участники </w:t>
      </w:r>
      <w:proofErr w:type="gram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нашего</w:t>
      </w:r>
      <w:proofErr w:type="gram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исследования-молодые, умеренно активные, здоровые взрослые. Необходимы дальнейшие исследования для выяснения воздействия на другие группы населения, такие как пожилые люди, сидячие люди, люди с избыточным весом или спортсмены; кроме того, необходимы будущие исследования для выяснения воздействия в различных атмосферных условиях (например, более низкая или более высокая температура). В-третьих, хотя уровни </w:t>
      </w: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физической активности регистрировались до и после программы вмешательства, они были субъективно оценены /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самооценены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 Наконец, участники не были чисто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рандомизированы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в основном из-за этических соображений, и, учитывая органолептические характеристики различных видов напитков, реальный двойной слепой дизайн,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плацебо-контролируемый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для алкоголя, был невозможен.</w:t>
      </w:r>
    </w:p>
    <w:p w:rsidR="00243974" w:rsidRPr="00977D5F" w:rsidRDefault="00243974" w:rsidP="00243974">
      <w:pPr>
        <w:pBdr>
          <w:bottom w:val="single" w:sz="12" w:space="7" w:color="D5D5D5"/>
        </w:pBd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color w:val="1B3051"/>
          <w:sz w:val="32"/>
          <w:szCs w:val="32"/>
          <w:lang w:eastAsia="ru-RU"/>
        </w:rPr>
      </w:pPr>
      <w:r w:rsidRPr="00977D5F">
        <w:rPr>
          <w:rFonts w:ascii="Trebuchet MS" w:eastAsia="Times New Roman" w:hAnsi="Trebuchet MS" w:cs="Times New Roman"/>
          <w:b/>
          <w:bCs/>
          <w:color w:val="1B3051"/>
          <w:sz w:val="32"/>
          <w:szCs w:val="32"/>
          <w:lang w:eastAsia="ru-RU"/>
        </w:rPr>
        <w:t>Выводы</w:t>
      </w:r>
    </w:p>
    <w:p w:rsidR="00243974" w:rsidRPr="00977D5F" w:rsidRDefault="00243974" w:rsidP="00243974">
      <w:pPr>
        <w:spacing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 исследование показывает, что 10-недельное структурированное и очень требовательное упражнение улучшает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кардиореспираторную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физическую форму и силу захвата рук у здоровых взрослых. На это не повлияло одновременное потребление пива в умеренных количествах. Хотя мы не обнаружили пагубного влияния употребления алкоголя после физической нагрузки ни на </w:t>
      </w:r>
      <w:proofErr w:type="spellStart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кардиореспираторную</w:t>
      </w:r>
      <w:proofErr w:type="spellEnd"/>
      <w:r w:rsidRPr="00977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работоспособность, ни на мышечную силу, употребление алкоголя после интенсивной физической нагрузки следует тщательно контролировать. Поэтому для выработки рекомендаций по надлежащему употреблению алкоголя в период после события требуется дополнительная информация.</w:t>
      </w:r>
    </w:p>
    <w:p w:rsidR="00443E7E" w:rsidRPr="00977D5F" w:rsidRDefault="00443E7E">
      <w:pPr>
        <w:rPr>
          <w:sz w:val="32"/>
          <w:szCs w:val="32"/>
        </w:rPr>
      </w:pPr>
    </w:p>
    <w:sectPr w:rsidR="00443E7E" w:rsidRPr="00977D5F" w:rsidSect="0044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5082C"/>
    <w:multiLevelType w:val="multilevel"/>
    <w:tmpl w:val="6FE4E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445580"/>
    <w:multiLevelType w:val="multilevel"/>
    <w:tmpl w:val="A9BE8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48747C"/>
    <w:multiLevelType w:val="multilevel"/>
    <w:tmpl w:val="22321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43974"/>
    <w:rsid w:val="00243974"/>
    <w:rsid w:val="002C7333"/>
    <w:rsid w:val="002F6D2C"/>
    <w:rsid w:val="00443E7E"/>
    <w:rsid w:val="00450A24"/>
    <w:rsid w:val="00762D95"/>
    <w:rsid w:val="00920E44"/>
    <w:rsid w:val="00977D5F"/>
    <w:rsid w:val="00F22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E7E"/>
  </w:style>
  <w:style w:type="paragraph" w:styleId="1">
    <w:name w:val="heading 1"/>
    <w:basedOn w:val="a"/>
    <w:link w:val="10"/>
    <w:uiPriority w:val="9"/>
    <w:qFormat/>
    <w:rsid w:val="002439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439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439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4397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39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439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39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4397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439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43974"/>
    <w:rPr>
      <w:color w:val="800080"/>
      <w:u w:val="single"/>
    </w:rPr>
  </w:style>
  <w:style w:type="paragraph" w:customStyle="1" w:styleId="c-article-info-details">
    <w:name w:val="c-article-info-details"/>
    <w:basedOn w:val="a"/>
    <w:rsid w:val="00243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-visually-hidden">
    <w:name w:val="u-visually-hidden"/>
    <w:basedOn w:val="a0"/>
    <w:rsid w:val="00243974"/>
  </w:style>
  <w:style w:type="paragraph" w:customStyle="1" w:styleId="c-article-metrics-barcount">
    <w:name w:val="c-article-metrics-bar__count"/>
    <w:basedOn w:val="a"/>
    <w:rsid w:val="00243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-article-metrics-barlabel">
    <w:name w:val="c-article-metrics-bar__label"/>
    <w:basedOn w:val="a0"/>
    <w:rsid w:val="00243974"/>
  </w:style>
  <w:style w:type="paragraph" w:customStyle="1" w:styleId="c-article-metrics-bardetails">
    <w:name w:val="c-article-metrics-bar__details"/>
    <w:basedOn w:val="a"/>
    <w:rsid w:val="00243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43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43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39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743441">
          <w:marLeft w:val="0"/>
          <w:marRight w:val="0"/>
          <w:marTop w:val="0"/>
          <w:marBottom w:val="6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2387">
              <w:marLeft w:val="0"/>
              <w:marRight w:val="0"/>
              <w:marTop w:val="0"/>
              <w:marBottom w:val="2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5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87245">
              <w:marLeft w:val="0"/>
              <w:marRight w:val="0"/>
              <w:marTop w:val="0"/>
              <w:marBottom w:val="6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6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275369">
              <w:marLeft w:val="0"/>
              <w:marRight w:val="0"/>
              <w:marTop w:val="0"/>
              <w:marBottom w:val="6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1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8543">
              <w:marLeft w:val="0"/>
              <w:marRight w:val="0"/>
              <w:marTop w:val="0"/>
              <w:marBottom w:val="6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346445">
                  <w:marLeft w:val="0"/>
                  <w:marRight w:val="0"/>
                  <w:marTop w:val="0"/>
                  <w:marBottom w:val="402"/>
                  <w:divBdr>
                    <w:top w:val="single" w:sz="36" w:space="17" w:color="D5D5D5"/>
                    <w:left w:val="single" w:sz="36" w:space="8" w:color="D5D5D5"/>
                    <w:bottom w:val="single" w:sz="36" w:space="17" w:color="D5D5D5"/>
                    <w:right w:val="single" w:sz="36" w:space="8" w:color="D5D5D5"/>
                  </w:divBdr>
                  <w:divsChild>
                    <w:div w:id="942997649">
                      <w:marLeft w:val="0"/>
                      <w:marRight w:val="0"/>
                      <w:marTop w:val="0"/>
                      <w:marBottom w:val="2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50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272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00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49051">
              <w:marLeft w:val="0"/>
              <w:marRight w:val="0"/>
              <w:marTop w:val="0"/>
              <w:marBottom w:val="6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47166">
                  <w:marLeft w:val="0"/>
                  <w:marRight w:val="0"/>
                  <w:marTop w:val="0"/>
                  <w:marBottom w:val="402"/>
                  <w:divBdr>
                    <w:top w:val="single" w:sz="36" w:space="17" w:color="D5D5D5"/>
                    <w:left w:val="single" w:sz="36" w:space="8" w:color="D5D5D5"/>
                    <w:bottom w:val="single" w:sz="36" w:space="17" w:color="D5D5D5"/>
                    <w:right w:val="single" w:sz="36" w:space="8" w:color="D5D5D5"/>
                  </w:divBdr>
                </w:div>
                <w:div w:id="457072460">
                  <w:marLeft w:val="0"/>
                  <w:marRight w:val="0"/>
                  <w:marTop w:val="0"/>
                  <w:marBottom w:val="402"/>
                  <w:divBdr>
                    <w:top w:val="single" w:sz="36" w:space="17" w:color="D5D5D5"/>
                    <w:left w:val="single" w:sz="36" w:space="8" w:color="D5D5D5"/>
                    <w:bottom w:val="single" w:sz="36" w:space="17" w:color="D5D5D5"/>
                    <w:right w:val="single" w:sz="36" w:space="8" w:color="D5D5D5"/>
                  </w:divBdr>
                  <w:divsChild>
                    <w:div w:id="1735196863">
                      <w:marLeft w:val="0"/>
                      <w:marRight w:val="0"/>
                      <w:marTop w:val="0"/>
                      <w:marBottom w:val="2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56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08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5199842">
                  <w:marLeft w:val="0"/>
                  <w:marRight w:val="0"/>
                  <w:marTop w:val="0"/>
                  <w:marBottom w:val="402"/>
                  <w:divBdr>
                    <w:top w:val="single" w:sz="36" w:space="17" w:color="D5D5D5"/>
                    <w:left w:val="single" w:sz="36" w:space="8" w:color="D5D5D5"/>
                    <w:bottom w:val="single" w:sz="36" w:space="17" w:color="D5D5D5"/>
                    <w:right w:val="single" w:sz="36" w:space="8" w:color="D5D5D5"/>
                  </w:divBdr>
                  <w:divsChild>
                    <w:div w:id="1949238751">
                      <w:marLeft w:val="0"/>
                      <w:marRight w:val="0"/>
                      <w:marTop w:val="0"/>
                      <w:marBottom w:val="2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77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3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5403855">
                  <w:marLeft w:val="0"/>
                  <w:marRight w:val="0"/>
                  <w:marTop w:val="0"/>
                  <w:marBottom w:val="402"/>
                  <w:divBdr>
                    <w:top w:val="single" w:sz="36" w:space="17" w:color="D5D5D5"/>
                    <w:left w:val="single" w:sz="36" w:space="8" w:color="D5D5D5"/>
                    <w:bottom w:val="single" w:sz="36" w:space="17" w:color="D5D5D5"/>
                    <w:right w:val="single" w:sz="36" w:space="8" w:color="D5D5D5"/>
                  </w:divBdr>
                  <w:divsChild>
                    <w:div w:id="600261416">
                      <w:marLeft w:val="0"/>
                      <w:marRight w:val="0"/>
                      <w:marTop w:val="0"/>
                      <w:marBottom w:val="2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8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712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0221295">
                  <w:marLeft w:val="0"/>
                  <w:marRight w:val="0"/>
                  <w:marTop w:val="0"/>
                  <w:marBottom w:val="402"/>
                  <w:divBdr>
                    <w:top w:val="single" w:sz="36" w:space="17" w:color="D5D5D5"/>
                    <w:left w:val="single" w:sz="36" w:space="8" w:color="D5D5D5"/>
                    <w:bottom w:val="single" w:sz="36" w:space="17" w:color="D5D5D5"/>
                    <w:right w:val="single" w:sz="36" w:space="8" w:color="D5D5D5"/>
                  </w:divBdr>
                  <w:divsChild>
                    <w:div w:id="1654407286">
                      <w:marLeft w:val="0"/>
                      <w:marRight w:val="0"/>
                      <w:marTop w:val="0"/>
                      <w:marBottom w:val="2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12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813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59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83846">
              <w:marLeft w:val="0"/>
              <w:marRight w:val="0"/>
              <w:marTop w:val="0"/>
              <w:marBottom w:val="6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9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02882">
              <w:marLeft w:val="0"/>
              <w:marRight w:val="0"/>
              <w:marTop w:val="0"/>
              <w:marBottom w:val="6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jissn.biomedcentral.com/articles/10.1186/s12970-020-00356-7" TargetMode="External"/><Relationship Id="rId117" Type="http://schemas.openxmlformats.org/officeDocument/2006/relationships/hyperlink" Target="https://jissn.biomedcentral.com/articles/10.1186/s12970-020-00356-7" TargetMode="External"/><Relationship Id="rId21" Type="http://schemas.openxmlformats.org/officeDocument/2006/relationships/hyperlink" Target="https://jissn.biomedcentral.com/articles/10.1186/s12970-020-00356-7" TargetMode="External"/><Relationship Id="rId42" Type="http://schemas.openxmlformats.org/officeDocument/2006/relationships/hyperlink" Target="https://jissn.biomedcentral.com/articles/10.1186/s12970-020-00356-7" TargetMode="External"/><Relationship Id="rId47" Type="http://schemas.openxmlformats.org/officeDocument/2006/relationships/hyperlink" Target="https://jissn.biomedcentral.com/articles/10.1186/s12970-020-00356-7" TargetMode="External"/><Relationship Id="rId63" Type="http://schemas.openxmlformats.org/officeDocument/2006/relationships/hyperlink" Target="https://jissn.biomedcentral.com/articles/10.1186/s12970-020-00356-7/figures/1" TargetMode="External"/><Relationship Id="rId68" Type="http://schemas.openxmlformats.org/officeDocument/2006/relationships/hyperlink" Target="https://jissn.biomedcentral.com/articles/10.1186/s12970-020-00356-7" TargetMode="External"/><Relationship Id="rId84" Type="http://schemas.openxmlformats.org/officeDocument/2006/relationships/hyperlink" Target="https://jissn.biomedcentral.com/articles/10.1186/s12970-020-00356-7" TargetMode="External"/><Relationship Id="rId89" Type="http://schemas.openxmlformats.org/officeDocument/2006/relationships/hyperlink" Target="https://jissn.biomedcentral.com/articles/10.1186/s12970-020-00356-7" TargetMode="External"/><Relationship Id="rId112" Type="http://schemas.openxmlformats.org/officeDocument/2006/relationships/hyperlink" Target="https://jissn.biomedcentral.com/articles/10.1186/s12970-020-00356-7/figures/3" TargetMode="External"/><Relationship Id="rId133" Type="http://schemas.openxmlformats.org/officeDocument/2006/relationships/hyperlink" Target="https://jissn.biomedcentral.com/articles/10.1186/s12970-020-00356-7" TargetMode="External"/><Relationship Id="rId138" Type="http://schemas.openxmlformats.org/officeDocument/2006/relationships/hyperlink" Target="https://jissn.biomedcentral.com/articles/10.1186/s12970-020-00356-7" TargetMode="External"/><Relationship Id="rId154" Type="http://schemas.openxmlformats.org/officeDocument/2006/relationships/hyperlink" Target="https://jissn.biomedcentral.com/articles/10.1186/s12970-020-00356-7" TargetMode="External"/><Relationship Id="rId16" Type="http://schemas.openxmlformats.org/officeDocument/2006/relationships/hyperlink" Target="https://jissn.biomedcentral.com/articles/10.1186/s12970-020-00356-7" TargetMode="External"/><Relationship Id="rId107" Type="http://schemas.openxmlformats.org/officeDocument/2006/relationships/hyperlink" Target="https://jissn.biomedcentral.com/articles/10.1186/s12970-020-00356-7" TargetMode="External"/><Relationship Id="rId11" Type="http://schemas.openxmlformats.org/officeDocument/2006/relationships/hyperlink" Target="https://jissn.biomedcentral.com/articles/10.1186/s12970-020-00356-7" TargetMode="External"/><Relationship Id="rId32" Type="http://schemas.openxmlformats.org/officeDocument/2006/relationships/hyperlink" Target="https://jissn.biomedcentral.com/articles/10.1186/s12970-020-00356-7" TargetMode="External"/><Relationship Id="rId37" Type="http://schemas.openxmlformats.org/officeDocument/2006/relationships/hyperlink" Target="https://jissn.biomedcentral.com/articles/10.1186/s12970-020-00356-7" TargetMode="External"/><Relationship Id="rId53" Type="http://schemas.openxmlformats.org/officeDocument/2006/relationships/hyperlink" Target="https://jissn.biomedcentral.com/articles/10.1186/s12970-020-00356-7" TargetMode="External"/><Relationship Id="rId58" Type="http://schemas.openxmlformats.org/officeDocument/2006/relationships/hyperlink" Target="https://clinicaltrials.gov/ct2/show/study/NCT03660579" TargetMode="External"/><Relationship Id="rId74" Type="http://schemas.openxmlformats.org/officeDocument/2006/relationships/hyperlink" Target="https://jissn.biomedcentral.com/articles/10.1186/s12970-020-00356-7" TargetMode="External"/><Relationship Id="rId79" Type="http://schemas.openxmlformats.org/officeDocument/2006/relationships/hyperlink" Target="https://jissn.biomedcentral.com/articles/10.1186/s12970-020-00356-7" TargetMode="External"/><Relationship Id="rId102" Type="http://schemas.openxmlformats.org/officeDocument/2006/relationships/hyperlink" Target="https://jissn.biomedcentral.com/articles/10.1186/s12970-020-00356-7/figures/2" TargetMode="External"/><Relationship Id="rId123" Type="http://schemas.openxmlformats.org/officeDocument/2006/relationships/hyperlink" Target="https://jissn.biomedcentral.com/articles/10.1186/s12970-020-00356-7" TargetMode="External"/><Relationship Id="rId128" Type="http://schemas.openxmlformats.org/officeDocument/2006/relationships/hyperlink" Target="https://jissn.biomedcentral.com/articles/10.1186/s12970-020-00356-7" TargetMode="External"/><Relationship Id="rId144" Type="http://schemas.openxmlformats.org/officeDocument/2006/relationships/hyperlink" Target="https://jissn.biomedcentral.com/articles/10.1186/s12970-020-00356-7" TargetMode="External"/><Relationship Id="rId149" Type="http://schemas.openxmlformats.org/officeDocument/2006/relationships/hyperlink" Target="https://jissn.biomedcentral.com/articles/10.1186/s12970-020-00356-7" TargetMode="External"/><Relationship Id="rId5" Type="http://schemas.openxmlformats.org/officeDocument/2006/relationships/hyperlink" Target="https://jissn.biomedcentral.com/articles/10.1186/s12970-020-00356-7" TargetMode="External"/><Relationship Id="rId90" Type="http://schemas.openxmlformats.org/officeDocument/2006/relationships/hyperlink" Target="https://jissn.biomedcentral.com/articles/10.1186/s12970-020-00356-7" TargetMode="External"/><Relationship Id="rId95" Type="http://schemas.openxmlformats.org/officeDocument/2006/relationships/hyperlink" Target="https://jissn.biomedcentral.com/articles/10.1186/s12970-020-00356-7" TargetMode="External"/><Relationship Id="rId22" Type="http://schemas.openxmlformats.org/officeDocument/2006/relationships/hyperlink" Target="https://jissn.biomedcentral.com/articles/10.1186/s12970-020-00356-7" TargetMode="External"/><Relationship Id="rId27" Type="http://schemas.openxmlformats.org/officeDocument/2006/relationships/hyperlink" Target="https://jissn.biomedcentral.com/articles/10.1186/s12970-020-00356-7" TargetMode="External"/><Relationship Id="rId43" Type="http://schemas.openxmlformats.org/officeDocument/2006/relationships/hyperlink" Target="https://jissn.biomedcentral.com/articles/10.1186/s12970-020-00356-7" TargetMode="External"/><Relationship Id="rId48" Type="http://schemas.openxmlformats.org/officeDocument/2006/relationships/hyperlink" Target="https://jissn.biomedcentral.com/articles/10.1186/s12970-020-00356-7" TargetMode="External"/><Relationship Id="rId64" Type="http://schemas.openxmlformats.org/officeDocument/2006/relationships/hyperlink" Target="https://jissn.biomedcentral.com/articles/10.1186/s12970-020-00356-7" TargetMode="External"/><Relationship Id="rId69" Type="http://schemas.openxmlformats.org/officeDocument/2006/relationships/hyperlink" Target="https://jissn.biomedcentral.com/articles/10.1186/s12970-020-00356-7" TargetMode="External"/><Relationship Id="rId113" Type="http://schemas.openxmlformats.org/officeDocument/2006/relationships/image" Target="media/image3.png"/><Relationship Id="rId118" Type="http://schemas.openxmlformats.org/officeDocument/2006/relationships/hyperlink" Target="https://jissn.biomedcentral.com/articles/10.1186/s12970-020-00356-7" TargetMode="External"/><Relationship Id="rId134" Type="http://schemas.openxmlformats.org/officeDocument/2006/relationships/hyperlink" Target="https://jissn.biomedcentral.com/articles/10.1186/s12970-020-00356-7" TargetMode="External"/><Relationship Id="rId139" Type="http://schemas.openxmlformats.org/officeDocument/2006/relationships/hyperlink" Target="https://jissn.biomedcentral.com/articles/10.1186/s12970-020-00356-7" TargetMode="External"/><Relationship Id="rId80" Type="http://schemas.openxmlformats.org/officeDocument/2006/relationships/hyperlink" Target="https://jissn.biomedcentral.com/articles/10.1186/s12970-020-00356-7" TargetMode="External"/><Relationship Id="rId85" Type="http://schemas.openxmlformats.org/officeDocument/2006/relationships/hyperlink" Target="https://jissn.biomedcentral.com/articles/10.1186/s12970-020-00356-7" TargetMode="External"/><Relationship Id="rId150" Type="http://schemas.openxmlformats.org/officeDocument/2006/relationships/hyperlink" Target="https://jissn.biomedcentral.com/articles/10.1186/s12970-020-00356-7" TargetMode="External"/><Relationship Id="rId155" Type="http://schemas.openxmlformats.org/officeDocument/2006/relationships/hyperlink" Target="https://jissn.biomedcentral.com/articles/10.1186/s12970-020-00356-7" TargetMode="External"/><Relationship Id="rId12" Type="http://schemas.openxmlformats.org/officeDocument/2006/relationships/hyperlink" Target="https://jissn.biomedcentral.com/articles/10.1186/s12970-020-00356-7/metrics" TargetMode="External"/><Relationship Id="rId17" Type="http://schemas.openxmlformats.org/officeDocument/2006/relationships/hyperlink" Target="https://jissn.biomedcentral.com/articles/10.1186/s12970-020-00356-7" TargetMode="External"/><Relationship Id="rId33" Type="http://schemas.openxmlformats.org/officeDocument/2006/relationships/hyperlink" Target="https://jissn.biomedcentral.com/articles/10.1186/s12970-020-00356-7" TargetMode="External"/><Relationship Id="rId38" Type="http://schemas.openxmlformats.org/officeDocument/2006/relationships/hyperlink" Target="https://jissn.biomedcentral.com/articles/10.1186/s12970-020-00356-7" TargetMode="External"/><Relationship Id="rId59" Type="http://schemas.openxmlformats.org/officeDocument/2006/relationships/hyperlink" Target="https://jissn.biomedcentral.com/articles/10.1186/s12970-020-00356-7" TargetMode="External"/><Relationship Id="rId103" Type="http://schemas.openxmlformats.org/officeDocument/2006/relationships/image" Target="media/image2.png"/><Relationship Id="rId108" Type="http://schemas.openxmlformats.org/officeDocument/2006/relationships/hyperlink" Target="https://jissn.biomedcentral.com/articles/10.1186/s12970-020-00356-7" TargetMode="External"/><Relationship Id="rId124" Type="http://schemas.openxmlformats.org/officeDocument/2006/relationships/hyperlink" Target="https://jissn.biomedcentral.com/articles/10.1186/s12970-020-00356-7/figures/5" TargetMode="External"/><Relationship Id="rId129" Type="http://schemas.openxmlformats.org/officeDocument/2006/relationships/hyperlink" Target="https://jissn.biomedcentral.com/articles/10.1186/s12970-020-00356-7" TargetMode="External"/><Relationship Id="rId20" Type="http://schemas.openxmlformats.org/officeDocument/2006/relationships/hyperlink" Target="https://jissn.biomedcentral.com/articles/10.1186/s12970-020-00356-7" TargetMode="External"/><Relationship Id="rId41" Type="http://schemas.openxmlformats.org/officeDocument/2006/relationships/hyperlink" Target="https://jissn.biomedcentral.com/articles/10.1186/s12970-020-00356-7" TargetMode="External"/><Relationship Id="rId54" Type="http://schemas.openxmlformats.org/officeDocument/2006/relationships/hyperlink" Target="https://jissn.biomedcentral.com/articles/10.1186/s12970-020-00356-7" TargetMode="External"/><Relationship Id="rId62" Type="http://schemas.openxmlformats.org/officeDocument/2006/relationships/image" Target="media/image1.png"/><Relationship Id="rId70" Type="http://schemas.openxmlformats.org/officeDocument/2006/relationships/hyperlink" Target="https://jissn.biomedcentral.com/articles/10.1186/s12970-020-00356-7" TargetMode="External"/><Relationship Id="rId75" Type="http://schemas.openxmlformats.org/officeDocument/2006/relationships/hyperlink" Target="https://jissn.biomedcentral.com/articles/10.1186/s12970-020-00356-7" TargetMode="External"/><Relationship Id="rId83" Type="http://schemas.openxmlformats.org/officeDocument/2006/relationships/hyperlink" Target="https://jissn.biomedcentral.com/articles/10.1186/s12970-020-00356-7" TargetMode="External"/><Relationship Id="rId88" Type="http://schemas.openxmlformats.org/officeDocument/2006/relationships/hyperlink" Target="https://jissn.biomedcentral.com/articles/10.1186/s12970-020-00356-7" TargetMode="External"/><Relationship Id="rId91" Type="http://schemas.openxmlformats.org/officeDocument/2006/relationships/hyperlink" Target="https://jissn.biomedcentral.com/articles/10.1186/s12970-020-00356-7" TargetMode="External"/><Relationship Id="rId96" Type="http://schemas.openxmlformats.org/officeDocument/2006/relationships/hyperlink" Target="https://jissn.biomedcentral.com/articles/10.1186/s12970-020-00356-7" TargetMode="External"/><Relationship Id="rId111" Type="http://schemas.openxmlformats.org/officeDocument/2006/relationships/hyperlink" Target="https://jissn.biomedcentral.com/articles/10.1186/s12970-020-00356-7" TargetMode="External"/><Relationship Id="rId132" Type="http://schemas.openxmlformats.org/officeDocument/2006/relationships/hyperlink" Target="https://jissn.biomedcentral.com/articles/10.1186/s12970-020-00356-7" TargetMode="External"/><Relationship Id="rId140" Type="http://schemas.openxmlformats.org/officeDocument/2006/relationships/hyperlink" Target="https://jissn.biomedcentral.com/articles/10.1186/s12970-020-00356-7" TargetMode="External"/><Relationship Id="rId145" Type="http://schemas.openxmlformats.org/officeDocument/2006/relationships/hyperlink" Target="https://jissn.biomedcentral.com/articles/10.1186/s12970-020-00356-7" TargetMode="External"/><Relationship Id="rId153" Type="http://schemas.openxmlformats.org/officeDocument/2006/relationships/hyperlink" Target="https://jissn.biomedcentral.com/articles/10.1186/s12970-020-00356-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jissn.biomedcentral.com/articles/10.1186/s12970-020-00356-7" TargetMode="External"/><Relationship Id="rId15" Type="http://schemas.openxmlformats.org/officeDocument/2006/relationships/hyperlink" Target="https://jissn.biomedcentral.com/articles/10.1186/s12970-020-00356-7" TargetMode="External"/><Relationship Id="rId23" Type="http://schemas.openxmlformats.org/officeDocument/2006/relationships/hyperlink" Target="https://jissn.biomedcentral.com/articles/10.1186/s12970-020-00356-7" TargetMode="External"/><Relationship Id="rId28" Type="http://schemas.openxmlformats.org/officeDocument/2006/relationships/hyperlink" Target="https://jissn.biomedcentral.com/articles/10.1186/s12970-020-00356-7" TargetMode="External"/><Relationship Id="rId36" Type="http://schemas.openxmlformats.org/officeDocument/2006/relationships/hyperlink" Target="https://jissn.biomedcentral.com/articles/10.1186/s12970-020-00356-7" TargetMode="External"/><Relationship Id="rId49" Type="http://schemas.openxmlformats.org/officeDocument/2006/relationships/hyperlink" Target="https://jissn.biomedcentral.com/articles/10.1186/s12970-020-00356-7" TargetMode="External"/><Relationship Id="rId57" Type="http://schemas.openxmlformats.org/officeDocument/2006/relationships/hyperlink" Target="http://clinicaltrials.gov/" TargetMode="External"/><Relationship Id="rId106" Type="http://schemas.openxmlformats.org/officeDocument/2006/relationships/hyperlink" Target="https://jissn.biomedcentral.com/articles/10.1186/s12970-020-00356-7" TargetMode="External"/><Relationship Id="rId114" Type="http://schemas.openxmlformats.org/officeDocument/2006/relationships/hyperlink" Target="https://jissn.biomedcentral.com/articles/10.1186/s12970-020-00356-7/figures/3" TargetMode="External"/><Relationship Id="rId119" Type="http://schemas.openxmlformats.org/officeDocument/2006/relationships/hyperlink" Target="https://jissn.biomedcentral.com/articles/10.1186/s12970-020-00356-7/figures/4" TargetMode="External"/><Relationship Id="rId127" Type="http://schemas.openxmlformats.org/officeDocument/2006/relationships/hyperlink" Target="https://jissn.biomedcentral.com/articles/10.1186/s12970-020-00356-7" TargetMode="External"/><Relationship Id="rId10" Type="http://schemas.openxmlformats.org/officeDocument/2006/relationships/hyperlink" Target="https://jissn.biomedcentral.com/" TargetMode="External"/><Relationship Id="rId31" Type="http://schemas.openxmlformats.org/officeDocument/2006/relationships/hyperlink" Target="https://jissn.biomedcentral.com/articles/10.1186/s12970-020-00356-7" TargetMode="External"/><Relationship Id="rId44" Type="http://schemas.openxmlformats.org/officeDocument/2006/relationships/hyperlink" Target="https://jissn.biomedcentral.com/articles/10.1186/s12970-020-00356-7" TargetMode="External"/><Relationship Id="rId52" Type="http://schemas.openxmlformats.org/officeDocument/2006/relationships/hyperlink" Target="https://jissn.biomedcentral.com/articles/10.1186/s12970-020-00356-7" TargetMode="External"/><Relationship Id="rId60" Type="http://schemas.openxmlformats.org/officeDocument/2006/relationships/hyperlink" Target="https://jissn.biomedcentral.com/articles/10.1186/s12970-020-00356-7" TargetMode="External"/><Relationship Id="rId65" Type="http://schemas.openxmlformats.org/officeDocument/2006/relationships/hyperlink" Target="https://jissn.biomedcentral.com/articles/10.1186/s12970-020-00356-7" TargetMode="External"/><Relationship Id="rId73" Type="http://schemas.openxmlformats.org/officeDocument/2006/relationships/hyperlink" Target="https://jissn.biomedcentral.com/articles/10.1186/s12970-020-00356-7" TargetMode="External"/><Relationship Id="rId78" Type="http://schemas.openxmlformats.org/officeDocument/2006/relationships/hyperlink" Target="https://jissn.biomedcentral.com/articles/10.1186/s12970-020-00356-7" TargetMode="External"/><Relationship Id="rId81" Type="http://schemas.openxmlformats.org/officeDocument/2006/relationships/hyperlink" Target="https://jissn.biomedcentral.com/articles/10.1186/s12970-020-00356-7" TargetMode="External"/><Relationship Id="rId86" Type="http://schemas.openxmlformats.org/officeDocument/2006/relationships/hyperlink" Target="https://jissn.biomedcentral.com/articles/10.1186/s12970-020-00356-7" TargetMode="External"/><Relationship Id="rId94" Type="http://schemas.openxmlformats.org/officeDocument/2006/relationships/hyperlink" Target="https://jissn.biomedcentral.com/articles/10.1186/s12970-020-00356-7" TargetMode="External"/><Relationship Id="rId99" Type="http://schemas.openxmlformats.org/officeDocument/2006/relationships/hyperlink" Target="https://jissn.biomedcentral.com/articles/10.1186/s12970-020-00356-7" TargetMode="External"/><Relationship Id="rId101" Type="http://schemas.openxmlformats.org/officeDocument/2006/relationships/hyperlink" Target="https://jissn.biomedcentral.com/articles/10.1186/s12970-020-00356-7" TargetMode="External"/><Relationship Id="rId122" Type="http://schemas.openxmlformats.org/officeDocument/2006/relationships/hyperlink" Target="https://jissn.biomedcentral.com/articles/10.1186/s12970-020-00356-7" TargetMode="External"/><Relationship Id="rId130" Type="http://schemas.openxmlformats.org/officeDocument/2006/relationships/hyperlink" Target="https://jissn.biomedcentral.com/articles/10.1186/s12970-020-00356-7" TargetMode="External"/><Relationship Id="rId135" Type="http://schemas.openxmlformats.org/officeDocument/2006/relationships/hyperlink" Target="https://jissn.biomedcentral.com/articles/10.1186/s12970-020-00356-7" TargetMode="External"/><Relationship Id="rId143" Type="http://schemas.openxmlformats.org/officeDocument/2006/relationships/hyperlink" Target="https://jissn.biomedcentral.com/articles/10.1186/s12970-020-00356-7" TargetMode="External"/><Relationship Id="rId148" Type="http://schemas.openxmlformats.org/officeDocument/2006/relationships/hyperlink" Target="https://jissn.biomedcentral.com/articles/10.1186/s12970-020-00356-7" TargetMode="External"/><Relationship Id="rId151" Type="http://schemas.openxmlformats.org/officeDocument/2006/relationships/hyperlink" Target="https://jissn.biomedcentral.com/articles/10.1186/s12970-020-00356-7" TargetMode="External"/><Relationship Id="rId15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jissn.biomedcentral.com/articles/10.1186/s12970-020-00356-7" TargetMode="External"/><Relationship Id="rId13" Type="http://schemas.openxmlformats.org/officeDocument/2006/relationships/hyperlink" Target="http://clinicaltrials.gov/" TargetMode="External"/><Relationship Id="rId18" Type="http://schemas.openxmlformats.org/officeDocument/2006/relationships/hyperlink" Target="https://jissn.biomedcentral.com/articles/10.1186/s12970-020-00356-7" TargetMode="External"/><Relationship Id="rId39" Type="http://schemas.openxmlformats.org/officeDocument/2006/relationships/hyperlink" Target="https://jissn.biomedcentral.com/articles/10.1186/s12970-020-00356-7" TargetMode="External"/><Relationship Id="rId109" Type="http://schemas.openxmlformats.org/officeDocument/2006/relationships/hyperlink" Target="https://jissn.biomedcentral.com/articles/10.1186/s12970-020-00356-7" TargetMode="External"/><Relationship Id="rId34" Type="http://schemas.openxmlformats.org/officeDocument/2006/relationships/hyperlink" Target="https://jissn.biomedcentral.com/articles/10.1186/s12970-020-00356-7" TargetMode="External"/><Relationship Id="rId50" Type="http://schemas.openxmlformats.org/officeDocument/2006/relationships/hyperlink" Target="https://jissn.biomedcentral.com/articles/10.1186/s12970-020-00356-7" TargetMode="External"/><Relationship Id="rId55" Type="http://schemas.openxmlformats.org/officeDocument/2006/relationships/hyperlink" Target="https://jissn.biomedcentral.com/articles/10.1186/s12970-020-00356-7" TargetMode="External"/><Relationship Id="rId76" Type="http://schemas.openxmlformats.org/officeDocument/2006/relationships/hyperlink" Target="https://jissn.biomedcentral.com/articles/10.1186/s12970-020-00356-7" TargetMode="External"/><Relationship Id="rId97" Type="http://schemas.openxmlformats.org/officeDocument/2006/relationships/hyperlink" Target="https://jissn.biomedcentral.com/articles/10.1186/s12970-020-00356-7/tables/1" TargetMode="External"/><Relationship Id="rId104" Type="http://schemas.openxmlformats.org/officeDocument/2006/relationships/hyperlink" Target="https://jissn.biomedcentral.com/articles/10.1186/s12970-020-00356-7/figures/2" TargetMode="External"/><Relationship Id="rId120" Type="http://schemas.openxmlformats.org/officeDocument/2006/relationships/image" Target="media/image4.png"/><Relationship Id="rId125" Type="http://schemas.openxmlformats.org/officeDocument/2006/relationships/image" Target="media/image5.png"/><Relationship Id="rId141" Type="http://schemas.openxmlformats.org/officeDocument/2006/relationships/hyperlink" Target="https://jissn.biomedcentral.com/articles/10.1186/s12970-020-00356-7" TargetMode="External"/><Relationship Id="rId146" Type="http://schemas.openxmlformats.org/officeDocument/2006/relationships/hyperlink" Target="https://jissn.biomedcentral.com/articles/10.1186/s12970-020-00356-7" TargetMode="External"/><Relationship Id="rId7" Type="http://schemas.openxmlformats.org/officeDocument/2006/relationships/hyperlink" Target="https://jissn.biomedcentral.com/articles/10.1186/s12970-020-00356-7" TargetMode="External"/><Relationship Id="rId71" Type="http://schemas.openxmlformats.org/officeDocument/2006/relationships/hyperlink" Target="https://jissn.biomedcentral.com/articles/10.1186/s12970-020-00356-7" TargetMode="External"/><Relationship Id="rId92" Type="http://schemas.openxmlformats.org/officeDocument/2006/relationships/hyperlink" Target="https://jissn.biomedcentral.com/articles/10.1186/s12970-020-00356-7" TargetMode="External"/><Relationship Id="rId2" Type="http://schemas.openxmlformats.org/officeDocument/2006/relationships/styles" Target="styles.xml"/><Relationship Id="rId29" Type="http://schemas.openxmlformats.org/officeDocument/2006/relationships/hyperlink" Target="https://jissn.biomedcentral.com/articles/10.1186/s12970-020-00356-7" TargetMode="External"/><Relationship Id="rId24" Type="http://schemas.openxmlformats.org/officeDocument/2006/relationships/hyperlink" Target="https://jissn.biomedcentral.com/articles/10.1186/s12970-020-00356-7" TargetMode="External"/><Relationship Id="rId40" Type="http://schemas.openxmlformats.org/officeDocument/2006/relationships/hyperlink" Target="https://jissn.biomedcentral.com/articles/10.1186/s12970-020-00356-7" TargetMode="External"/><Relationship Id="rId45" Type="http://schemas.openxmlformats.org/officeDocument/2006/relationships/hyperlink" Target="https://jissn.biomedcentral.com/articles/10.1186/s12970-020-00356-7" TargetMode="External"/><Relationship Id="rId66" Type="http://schemas.openxmlformats.org/officeDocument/2006/relationships/hyperlink" Target="https://jissn.biomedcentral.com/articles/10.1186/s12970-020-00356-7" TargetMode="External"/><Relationship Id="rId87" Type="http://schemas.openxmlformats.org/officeDocument/2006/relationships/hyperlink" Target="https://jissn.biomedcentral.com/articles/10.1186/s12970-020-00356-7" TargetMode="External"/><Relationship Id="rId110" Type="http://schemas.openxmlformats.org/officeDocument/2006/relationships/hyperlink" Target="https://jissn.biomedcentral.com/articles/10.1186/s12970-020-00356-7" TargetMode="External"/><Relationship Id="rId115" Type="http://schemas.openxmlformats.org/officeDocument/2006/relationships/hyperlink" Target="https://jissn.biomedcentral.com/articles/10.1186/s12970-020-00356-7" TargetMode="External"/><Relationship Id="rId131" Type="http://schemas.openxmlformats.org/officeDocument/2006/relationships/hyperlink" Target="https://jissn.biomedcentral.com/articles/10.1186/s12970-020-00356-7" TargetMode="External"/><Relationship Id="rId136" Type="http://schemas.openxmlformats.org/officeDocument/2006/relationships/hyperlink" Target="https://jissn.biomedcentral.com/articles/10.1186/s12970-020-00356-7" TargetMode="External"/><Relationship Id="rId157" Type="http://schemas.openxmlformats.org/officeDocument/2006/relationships/theme" Target="theme/theme1.xml"/><Relationship Id="rId61" Type="http://schemas.openxmlformats.org/officeDocument/2006/relationships/hyperlink" Target="https://jissn.biomedcentral.com/articles/10.1186/s12970-020-00356-7/figures/1" TargetMode="External"/><Relationship Id="rId82" Type="http://schemas.openxmlformats.org/officeDocument/2006/relationships/hyperlink" Target="https://jissn.biomedcentral.com/articles/10.1186/s12970-020-00356-7" TargetMode="External"/><Relationship Id="rId152" Type="http://schemas.openxmlformats.org/officeDocument/2006/relationships/hyperlink" Target="https://jissn.biomedcentral.com/articles/10.1186/s12970-020-00356-7" TargetMode="External"/><Relationship Id="rId19" Type="http://schemas.openxmlformats.org/officeDocument/2006/relationships/hyperlink" Target="https://jissn.biomedcentral.com/articles/10.1186/s12970-020-00356-7" TargetMode="External"/><Relationship Id="rId14" Type="http://schemas.openxmlformats.org/officeDocument/2006/relationships/hyperlink" Target="https://clinicaltrials.gov/ct2/show/study/NCT03660579" TargetMode="External"/><Relationship Id="rId30" Type="http://schemas.openxmlformats.org/officeDocument/2006/relationships/hyperlink" Target="https://jissn.biomedcentral.com/articles/10.1186/s12970-020-00356-7" TargetMode="External"/><Relationship Id="rId35" Type="http://schemas.openxmlformats.org/officeDocument/2006/relationships/hyperlink" Target="https://jissn.biomedcentral.com/articles/10.1186/s12970-020-00356-7" TargetMode="External"/><Relationship Id="rId56" Type="http://schemas.openxmlformats.org/officeDocument/2006/relationships/hyperlink" Target="https://jissn.biomedcentral.com/articles/10.1186/s12970-020-00356-7" TargetMode="External"/><Relationship Id="rId77" Type="http://schemas.openxmlformats.org/officeDocument/2006/relationships/hyperlink" Target="https://jissn.biomedcentral.com/articles/10.1186/s12970-020-00356-7" TargetMode="External"/><Relationship Id="rId100" Type="http://schemas.openxmlformats.org/officeDocument/2006/relationships/hyperlink" Target="https://jissn.biomedcentral.com/articles/10.1186/s12970-020-00356-7" TargetMode="External"/><Relationship Id="rId105" Type="http://schemas.openxmlformats.org/officeDocument/2006/relationships/hyperlink" Target="https://jissn.biomedcentral.com/articles/10.1186/s12970-020-00356-7" TargetMode="External"/><Relationship Id="rId126" Type="http://schemas.openxmlformats.org/officeDocument/2006/relationships/hyperlink" Target="https://jissn.biomedcentral.com/articles/10.1186/s12970-020-00356-7/figures/5" TargetMode="External"/><Relationship Id="rId147" Type="http://schemas.openxmlformats.org/officeDocument/2006/relationships/hyperlink" Target="https://jissn.biomedcentral.com/articles/10.1186/s12970-020-00356-7" TargetMode="External"/><Relationship Id="rId8" Type="http://schemas.openxmlformats.org/officeDocument/2006/relationships/hyperlink" Target="https://jissn.biomedcentral.com/articles/10.1186/s12970-020-00356-7" TargetMode="External"/><Relationship Id="rId51" Type="http://schemas.openxmlformats.org/officeDocument/2006/relationships/hyperlink" Target="https://jissn.biomedcentral.com/articles/10.1186/s12970-020-00356-7" TargetMode="External"/><Relationship Id="rId72" Type="http://schemas.openxmlformats.org/officeDocument/2006/relationships/hyperlink" Target="https://jissn.biomedcentral.com/articles/10.1186/s12970-020-00356-7" TargetMode="External"/><Relationship Id="rId93" Type="http://schemas.openxmlformats.org/officeDocument/2006/relationships/hyperlink" Target="https://jissn.biomedcentral.com/articles/10.1186/s12970-020-00356-7" TargetMode="External"/><Relationship Id="rId98" Type="http://schemas.openxmlformats.org/officeDocument/2006/relationships/hyperlink" Target="https://jissn.biomedcentral.com/articles/10.1186/s12970-020-00356-7" TargetMode="External"/><Relationship Id="rId121" Type="http://schemas.openxmlformats.org/officeDocument/2006/relationships/hyperlink" Target="https://jissn.biomedcentral.com/articles/10.1186/s12970-020-00356-7/figures/4" TargetMode="External"/><Relationship Id="rId142" Type="http://schemas.openxmlformats.org/officeDocument/2006/relationships/hyperlink" Target="https://jissn.biomedcentral.com/articles/10.1186/s12970-020-00356-7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jissn.biomedcentral.com/articles/10.1186/s12970-020-00356-7" TargetMode="External"/><Relationship Id="rId46" Type="http://schemas.openxmlformats.org/officeDocument/2006/relationships/hyperlink" Target="https://jissn.biomedcentral.com/articles/10.1186/s12970-020-00356-7" TargetMode="External"/><Relationship Id="rId67" Type="http://schemas.openxmlformats.org/officeDocument/2006/relationships/hyperlink" Target="https://jissn.biomedcentral.com/articles/10.1186/s12970-020-00356-7" TargetMode="External"/><Relationship Id="rId116" Type="http://schemas.openxmlformats.org/officeDocument/2006/relationships/hyperlink" Target="https://jissn.biomedcentral.com/articles/10.1186/s12970-020-00356-7" TargetMode="External"/><Relationship Id="rId137" Type="http://schemas.openxmlformats.org/officeDocument/2006/relationships/hyperlink" Target="https://jissn.biomedcentral.com/articles/10.1186/s12970-020-00356-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10955</Words>
  <Characters>62450</Characters>
  <Application>Microsoft Office Word</Application>
  <DocSecurity>0</DocSecurity>
  <Lines>520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2021-03-29T19:47:00Z</dcterms:created>
  <dcterms:modified xsi:type="dcterms:W3CDTF">2021-04-02T18:11:00Z</dcterms:modified>
</cp:coreProperties>
</file>