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A35" w:rsidRPr="00263A35" w:rsidRDefault="00263A35" w:rsidP="00263A35">
      <w:pPr>
        <w:shd w:val="clear" w:color="auto" w:fill="FFFFFF"/>
        <w:spacing w:before="400" w:line="450" w:lineRule="atLeast"/>
        <w:outlineLvl w:val="0"/>
        <w:rPr>
          <w:rFonts w:ascii="Cambria" w:eastAsia="Times New Roman" w:hAnsi="Cambria" w:cs="Times New Roman"/>
          <w:color w:val="000000"/>
          <w:spacing w:val="-2"/>
          <w:kern w:val="36"/>
          <w:sz w:val="36"/>
          <w:szCs w:val="36"/>
          <w:lang w:eastAsia="ru-RU"/>
        </w:rPr>
      </w:pPr>
      <w:r>
        <w:rPr>
          <w:rFonts w:ascii="Cambria" w:eastAsia="Times New Roman" w:hAnsi="Cambria" w:cs="Times New Roman"/>
          <w:color w:val="000000"/>
          <w:spacing w:val="-2"/>
          <w:kern w:val="36"/>
          <w:sz w:val="36"/>
          <w:szCs w:val="36"/>
          <w:lang w:eastAsia="ru-RU"/>
        </w:rPr>
        <w:t>Для сайта</w:t>
      </w:r>
      <w:r>
        <w:rPr>
          <w:rFonts w:ascii="Cambria" w:eastAsia="Times New Roman" w:hAnsi="Cambria" w:cs="Times New Roman"/>
          <w:color w:val="000000"/>
          <w:spacing w:val="-2"/>
          <w:kern w:val="36"/>
          <w:sz w:val="36"/>
          <w:szCs w:val="36"/>
          <w:lang w:eastAsia="ru-RU"/>
        </w:rPr>
        <w:br/>
      </w:r>
      <w:r w:rsidRPr="00263A35">
        <w:rPr>
          <w:rFonts w:ascii="Cambria" w:eastAsia="Times New Roman" w:hAnsi="Cambria" w:cs="Times New Roman"/>
          <w:color w:val="000000"/>
          <w:spacing w:val="-2"/>
          <w:kern w:val="36"/>
          <w:sz w:val="36"/>
          <w:szCs w:val="36"/>
          <w:lang w:eastAsia="ru-RU"/>
        </w:rPr>
        <w:br/>
        <w:t>Контролируемое измерение частоты приема пищи без ограничения калорийности у здоровых взрослых людей среднего возраста с нормальным весом </w:t>
      </w:r>
      <w:r w:rsidRPr="00263A35">
        <w:rPr>
          <w:rFonts w:ascii="Cambria" w:eastAsia="Times New Roman" w:hAnsi="Cambria" w:cs="Times New Roman"/>
          <w:color w:val="000000"/>
          <w:spacing w:val="-2"/>
          <w:kern w:val="36"/>
          <w:sz w:val="27"/>
          <w:szCs w:val="27"/>
          <w:vertAlign w:val="superscript"/>
          <w:lang w:eastAsia="ru-RU"/>
        </w:rPr>
        <w:t>1, </w:t>
      </w:r>
      <w:hyperlink r:id="rId4" w:anchor="FN2" w:history="1">
        <w:r w:rsidRPr="00263A35">
          <w:rPr>
            <w:rFonts w:ascii="Cambria" w:eastAsia="Times New Roman" w:hAnsi="Cambria" w:cs="Times New Roman"/>
            <w:color w:val="376FAA"/>
            <w:spacing w:val="-2"/>
            <w:kern w:val="36"/>
            <w:sz w:val="27"/>
            <w:u w:val="single"/>
            <w:vertAlign w:val="superscript"/>
            <w:lang w:eastAsia="ru-RU"/>
          </w:rPr>
          <w:t>2</w:t>
        </w:r>
      </w:hyperlink>
      <w:r w:rsidRPr="00263A35">
        <w:rPr>
          <w:rFonts w:ascii="Cambria" w:eastAsia="Times New Roman" w:hAnsi="Cambria" w:cs="Times New Roman"/>
          <w:color w:val="000000"/>
          <w:spacing w:val="-2"/>
          <w:kern w:val="36"/>
          <w:sz w:val="27"/>
          <w:szCs w:val="27"/>
          <w:vertAlign w:val="superscript"/>
          <w:lang w:eastAsia="ru-RU"/>
        </w:rPr>
        <w:t> , 3</w:t>
      </w:r>
    </w:p>
    <w:p w:rsidR="00263A35" w:rsidRP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 w:rsidRPr="00263A35"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Фон</w:t>
      </w:r>
    </w:p>
    <w:p w:rsidR="00263A35" w:rsidRP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 w:rsidRPr="00263A35">
        <w:rPr>
          <w:rFonts w:ascii="Cambria" w:hAnsi="Cambria"/>
          <w:color w:val="212121"/>
          <w:sz w:val="30"/>
          <w:szCs w:val="30"/>
        </w:rPr>
        <w:t>Хотя трехразовое питание является наиболее распространенной моделью питания в промышленно развитых странах, научное обоснование такого приема пищи с точки зрения точки зрения на здоровье отсутствует.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Диета с увеличением приема пищи может улучшить здоровье и продлить жизнь лабораторных животных, но ее влияние на людей никогда не проверялось.</w:t>
      </w:r>
    </w:p>
    <w:p w:rsidR="00263A35" w:rsidRP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 w:rsidRPr="00263A35"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Цель</w:t>
      </w:r>
    </w:p>
    <w:p w:rsidR="00263A35" w:rsidRP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proofErr w:type="spellStart"/>
      <w:r w:rsidRPr="00263A35">
        <w:rPr>
          <w:rFonts w:ascii="Cambria" w:hAnsi="Cambria"/>
          <w:color w:val="212121"/>
          <w:sz w:val="30"/>
          <w:szCs w:val="30"/>
        </w:rPr>
        <w:t>Пилотное</w:t>
      </w:r>
      <w:proofErr w:type="spellEnd"/>
      <w:r w:rsidRPr="00263A35">
        <w:rPr>
          <w:rFonts w:ascii="Cambria" w:hAnsi="Cambria"/>
          <w:color w:val="212121"/>
          <w:sz w:val="30"/>
          <w:szCs w:val="30"/>
        </w:rPr>
        <w:t xml:space="preserve"> исследование было проведено с целью </w:t>
      </w:r>
      <w:proofErr w:type="gramStart"/>
      <w:r w:rsidRPr="00263A35">
        <w:rPr>
          <w:rFonts w:ascii="Cambria" w:hAnsi="Cambria"/>
          <w:color w:val="212121"/>
          <w:sz w:val="30"/>
          <w:szCs w:val="30"/>
        </w:rPr>
        <w:t>установить</w:t>
      </w:r>
      <w:proofErr w:type="gramEnd"/>
      <w:r w:rsidRPr="00263A35">
        <w:rPr>
          <w:rFonts w:ascii="Cambria" w:hAnsi="Cambria"/>
          <w:color w:val="212121"/>
          <w:sz w:val="30"/>
          <w:szCs w:val="30"/>
        </w:rPr>
        <w:t xml:space="preserve"> влияние диеты с пониженной скоростью приема пищи на показатели здоровья здоровых взрослых с нормальным весом.</w:t>
      </w:r>
    </w:p>
    <w:p w:rsidR="00263A35" w:rsidRP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 w:rsidRPr="00263A35"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Дизайн</w:t>
      </w:r>
    </w:p>
    <w:p w:rsidR="00263A35" w:rsidRP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 w:rsidRPr="00263A35">
        <w:rPr>
          <w:rFonts w:ascii="Cambria" w:hAnsi="Cambria"/>
          <w:color w:val="212121"/>
          <w:sz w:val="30"/>
          <w:szCs w:val="30"/>
        </w:rPr>
        <w:t xml:space="preserve">Исследование представляло собой </w:t>
      </w:r>
      <w:proofErr w:type="spellStart"/>
      <w:r w:rsidRPr="00263A35">
        <w:rPr>
          <w:rFonts w:ascii="Cambria" w:hAnsi="Cambria"/>
          <w:color w:val="212121"/>
          <w:sz w:val="30"/>
          <w:szCs w:val="30"/>
        </w:rPr>
        <w:t>рандомизированный</w:t>
      </w:r>
      <w:proofErr w:type="spellEnd"/>
      <w:r w:rsidRPr="00263A35">
        <w:rPr>
          <w:rFonts w:ascii="Cambria" w:hAnsi="Cambria"/>
          <w:color w:val="212121"/>
          <w:sz w:val="30"/>
          <w:szCs w:val="30"/>
        </w:rPr>
        <w:t xml:space="preserve"> перекрестный дизайн с двумя периодами лечения по 8 недель.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В период лечения субъекты потребляют все калории, необходимые для поддержания веса, либо 3 раза в день, либо 1 раз в день.</w:t>
      </w:r>
    </w:p>
    <w:p w:rsidR="00263A35" w:rsidRP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 w:rsidRPr="00263A35"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Полученные результаты</w:t>
      </w:r>
    </w:p>
    <w:p w:rsidR="00263A35" w:rsidRP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 w:rsidRPr="00263A35">
        <w:rPr>
          <w:rFonts w:ascii="Cambria" w:hAnsi="Cambria"/>
          <w:color w:val="212121"/>
          <w:sz w:val="30"/>
          <w:szCs w:val="30"/>
        </w:rPr>
        <w:t>Субъекты, завершившие исследование, поддерживали массу тела в пределах 2 кг от первоначального веса в течение 6-месячного периода.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Не было обнаружено достаточного количества циклического приема пищи на частотах сокращений сердца, температуры или большинства измеряемых показателей организма.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 xml:space="preserve">Однако при приеме пищи 1 раз в день у испытуемых </w:t>
      </w:r>
      <w:r w:rsidRPr="00263A35">
        <w:rPr>
          <w:rFonts w:ascii="Cambria" w:hAnsi="Cambria"/>
          <w:color w:val="212121"/>
          <w:sz w:val="30"/>
          <w:szCs w:val="30"/>
        </w:rPr>
        <w:lastRenderedPageBreak/>
        <w:t>наблюдалось появление своеобразного чувства голода;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основное изменение состава тела, снижение твердости массы;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повышение артериального давления и определение концентрации холестерина ЛПНП и ЛПВП;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и последствия лечения кортизола.</w:t>
      </w:r>
    </w:p>
    <w:p w:rsidR="00263A35" w:rsidRP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 w:rsidRPr="00263A35"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Выводы</w:t>
      </w:r>
    </w:p>
    <w:p w:rsidR="00263A35" w:rsidRP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 w:rsidRPr="00263A35">
        <w:rPr>
          <w:rFonts w:ascii="Cambria" w:hAnsi="Cambria"/>
          <w:color w:val="212121"/>
          <w:sz w:val="30"/>
          <w:szCs w:val="30"/>
        </w:rPr>
        <w:t>Субъекты с нормальным весом могут соблюдать диету 1 раз в день.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 xml:space="preserve">Когда частота приема пищи снижается без снижения общего потребления калорий, постоянные умеренные изменения в организме, некоторые факторы вызывают риск </w:t>
      </w:r>
      <w:proofErr w:type="spellStart"/>
      <w:proofErr w:type="gramStart"/>
      <w:r w:rsidRPr="00263A35">
        <w:rPr>
          <w:rFonts w:ascii="Cambria" w:hAnsi="Cambria"/>
          <w:color w:val="212121"/>
          <w:sz w:val="30"/>
          <w:szCs w:val="30"/>
        </w:rPr>
        <w:t>сердечно-сосудистых</w:t>
      </w:r>
      <w:proofErr w:type="spellEnd"/>
      <w:proofErr w:type="gramEnd"/>
      <w:r w:rsidRPr="00263A35">
        <w:rPr>
          <w:rFonts w:ascii="Cambria" w:hAnsi="Cambria"/>
          <w:color w:val="212121"/>
          <w:sz w:val="30"/>
          <w:szCs w:val="30"/>
        </w:rPr>
        <w:t xml:space="preserve"> заболеваний и гематологических показателей.</w:t>
      </w:r>
      <w:r>
        <w:rPr>
          <w:rFonts w:ascii="Cambria" w:hAnsi="Cambria"/>
          <w:color w:val="212121"/>
          <w:sz w:val="30"/>
          <w:szCs w:val="30"/>
          <w:lang/>
        </w:rPr>
        <w:t> </w:t>
      </w:r>
      <w:r w:rsidRPr="00263A35">
        <w:rPr>
          <w:rFonts w:ascii="Cambria" w:hAnsi="Cambria"/>
          <w:color w:val="212121"/>
          <w:sz w:val="30"/>
          <w:szCs w:val="30"/>
        </w:rPr>
        <w:t>Суточные колебания могут влиять на результаты.</w:t>
      </w:r>
    </w:p>
    <w:p w:rsidR="00263A35" w:rsidRPr="00263A35" w:rsidRDefault="00263A35" w:rsidP="00263A35">
      <w:pPr>
        <w:shd w:val="clear" w:color="auto" w:fill="FFFFFF"/>
        <w:rPr>
          <w:rFonts w:ascii="Cambria" w:hAnsi="Cambria"/>
          <w:color w:val="212121"/>
          <w:sz w:val="30"/>
          <w:szCs w:val="30"/>
        </w:rPr>
      </w:pPr>
      <w:r w:rsidRPr="00263A35">
        <w:rPr>
          <w:rStyle w:val="a6"/>
          <w:rFonts w:ascii="Cambria" w:hAnsi="Cambria"/>
          <w:color w:val="603620"/>
          <w:sz w:val="30"/>
          <w:szCs w:val="30"/>
        </w:rPr>
        <w:t>Ключевые слова:</w:t>
      </w:r>
      <w:r>
        <w:rPr>
          <w:rStyle w:val="a6"/>
          <w:rFonts w:ascii="Cambria" w:hAnsi="Cambria"/>
          <w:color w:val="603620"/>
          <w:sz w:val="30"/>
          <w:szCs w:val="30"/>
          <w:lang/>
        </w:rPr>
        <w:t> </w:t>
      </w:r>
      <w:r w:rsidRPr="00263A35">
        <w:rPr>
          <w:rStyle w:val="kwd-text"/>
          <w:rFonts w:ascii="Cambria" w:hAnsi="Cambria"/>
          <w:color w:val="212121"/>
          <w:sz w:val="30"/>
          <w:szCs w:val="30"/>
        </w:rPr>
        <w:t>ограничение калорий, частота приема пищи, прерывистое голодание, метаболизм холестерина, артериальное давление, контролируемая диета, взрослые с нормальным весом.</w:t>
      </w:r>
    </w:p>
    <w:p w:rsidR="00263A35" w:rsidRDefault="00263A35" w:rsidP="00263A35">
      <w:pPr>
        <w:shd w:val="clear" w:color="auto" w:fill="FFFFFF"/>
        <w:jc w:val="right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"https://www.ncbi.nlm.nih.gov/pmc/articles/PMC2645638/" \o "Перейти к другим разделам на этой странице"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Helvetica" w:hAnsi="Helvetica" w:cs="Helvetica"/>
          <w:color w:val="376FAA"/>
          <w:sz w:val="28"/>
          <w:szCs w:val="28"/>
        </w:rPr>
        <w:t xml:space="preserve">Идти </w:t>
      </w:r>
      <w:proofErr w:type="gramStart"/>
      <w:r>
        <w:rPr>
          <w:rStyle w:val="a3"/>
          <w:rFonts w:ascii="Helvetica" w:hAnsi="Helvetica" w:cs="Helvetica"/>
          <w:color w:val="376FAA"/>
          <w:sz w:val="28"/>
          <w:szCs w:val="28"/>
        </w:rPr>
        <w:t>к</w:t>
      </w:r>
      <w:proofErr w:type="gramEnd"/>
      <w:r>
        <w:rPr>
          <w:rStyle w:val="a3"/>
          <w:rFonts w:ascii="Helvetica" w:hAnsi="Helvetica" w:cs="Helvetica"/>
          <w:color w:val="376FAA"/>
          <w:sz w:val="28"/>
          <w:szCs w:val="28"/>
        </w:rPr>
        <w:t>:</w:t>
      </w:r>
      <w:r>
        <w:rPr>
          <w:rFonts w:ascii="Cambria" w:hAnsi="Cambria"/>
          <w:color w:val="212121"/>
          <w:sz w:val="30"/>
          <w:szCs w:val="30"/>
        </w:rPr>
        <w:fldChar w:fldCharType="end"/>
      </w:r>
    </w:p>
    <w:p w:rsidR="00263A35" w:rsidRDefault="00263A35" w:rsidP="00263A35">
      <w:pPr>
        <w:pStyle w:val="2"/>
        <w:pBdr>
          <w:bottom w:val="single" w:sz="6" w:space="0" w:color="97B0C8"/>
        </w:pBdr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</w:pPr>
      <w:r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  <w:t>ВВЕДЕНИЕ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Переедание является основной причиной заболеваемости и смертности среди людей, и, следовательно, ограничение потребления калорий имеет множество преимуществ для здоровья людей, страдающих ожирением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5" w:anchor="R2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2</w:t>
        </w:r>
      </w:hyperlink>
      <w:r>
        <w:rPr>
          <w:rFonts w:ascii="Cambria" w:hAnsi="Cambria"/>
          <w:color w:val="212121"/>
          <w:sz w:val="30"/>
          <w:szCs w:val="30"/>
        </w:rPr>
        <w:t xml:space="preserve"> ). Ограничение калорий также может улучшить здоровье людей, у которых нет избыточного веса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Хотя калорийные диеты с низким содержанием питательных веществ и низким содержанием питательных веществ имеют большое значение для здоровья, влияние частоты приема пищи на здоровье не установлено. Однако исследования различных лабораторных животных ( 4–6) и особенно грызунов (5, 7–9 </w:t>
      </w:r>
      <w:hyperlink r:id="rId6" w:anchor="R9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) </w:t>
        </w:r>
      </w:hyperlink>
      <w:hyperlink r:id="rId7" w:anchor="R4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показывают</w:t>
        </w:r>
      </w:hyperlink>
      <w:proofErr w:type="gramStart"/>
      <w:r>
        <w:rPr>
          <w:rFonts w:ascii="Cambria" w:hAnsi="Cambria"/>
          <w:color w:val="212121"/>
          <w:sz w:val="30"/>
          <w:szCs w:val="30"/>
        </w:rPr>
        <w:t> ,</w:t>
      </w:r>
      <w:proofErr w:type="gramEnd"/>
      <w:r>
        <w:rPr>
          <w:rFonts w:ascii="Cambria" w:hAnsi="Cambria"/>
          <w:color w:val="212121"/>
          <w:sz w:val="30"/>
          <w:szCs w:val="30"/>
        </w:rPr>
        <w:t> </w:t>
      </w:r>
      <w:hyperlink r:id="rId8" w:anchor="R6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что</w:t>
        </w:r>
      </w:hyperlink>
      <w:r>
        <w:rPr>
          <w:rFonts w:ascii="Cambria" w:hAnsi="Cambria"/>
          <w:color w:val="212121"/>
          <w:sz w:val="30"/>
          <w:szCs w:val="30"/>
        </w:rPr>
        <w:t> ограничение </w:t>
      </w:r>
      <w:hyperlink r:id="rId9" w:anchor="R5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в</w:t>
        </w:r>
      </w:hyperlink>
      <w:r>
        <w:rPr>
          <w:rFonts w:ascii="Cambria" w:hAnsi="Cambria"/>
          <w:color w:val="212121"/>
          <w:sz w:val="30"/>
          <w:szCs w:val="30"/>
        </w:rPr>
        <w:t> питании </w:t>
      </w:r>
      <w:hyperlink r:id="rId10" w:anchor="R7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(</w:t>
        </w:r>
      </w:hyperlink>
      <w:r>
        <w:rPr>
          <w:rFonts w:ascii="Cambria" w:hAnsi="Cambria"/>
          <w:color w:val="212121"/>
          <w:sz w:val="30"/>
          <w:szCs w:val="30"/>
        </w:rPr>
        <w:t xml:space="preserve"> ограничение потребления калорий или периодическое голодание – движение периодического голодания в случае грызунов) может увеличить продолжительность жизни и охранять или ограничивать. болезненные процессы, ответственные за </w:t>
      </w:r>
      <w:proofErr w:type="spellStart"/>
      <w:r>
        <w:rPr>
          <w:rFonts w:ascii="Cambria" w:hAnsi="Cambria"/>
          <w:color w:val="212121"/>
          <w:sz w:val="30"/>
          <w:szCs w:val="30"/>
        </w:rPr>
        <w:t>сердечно-сосудистые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заболевания (ССЗ), рак, диабет и </w:t>
      </w:r>
      <w:proofErr w:type="spellStart"/>
      <w:r>
        <w:rPr>
          <w:rFonts w:ascii="Cambria" w:hAnsi="Cambria"/>
          <w:color w:val="212121"/>
          <w:sz w:val="30"/>
          <w:szCs w:val="30"/>
        </w:rPr>
        <w:t>нейродегенеративные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расстройства. Последние исследования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"R5"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5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11" w:anchor="R7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7–9</w:t>
        </w:r>
      </w:hyperlink>
      <w:r>
        <w:rPr>
          <w:rFonts w:ascii="Cambria" w:hAnsi="Cambria"/>
          <w:color w:val="212121"/>
          <w:sz w:val="30"/>
          <w:szCs w:val="30"/>
        </w:rPr>
        <w:t xml:space="preserve"> ) показывают благотворное влияние прерывистого голодания на кровяное </w:t>
      </w:r>
      <w:r>
        <w:rPr>
          <w:rFonts w:ascii="Cambria" w:hAnsi="Cambria"/>
          <w:color w:val="212121"/>
          <w:sz w:val="30"/>
          <w:szCs w:val="30"/>
        </w:rPr>
        <w:lastRenderedPageBreak/>
        <w:t>давление, накопление глюкозы и уязвимость клеток сердца и мозга к повреждениям </w:t>
      </w:r>
      <w:hyperlink r:id="rId12" w:anchor="R9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. </w:t>
        </w:r>
      </w:hyperlink>
      <w:r>
        <w:rPr>
          <w:rFonts w:ascii="Cambria" w:hAnsi="Cambria"/>
          <w:color w:val="212121"/>
          <w:sz w:val="30"/>
          <w:szCs w:val="30"/>
        </w:rPr>
        <w:t xml:space="preserve">Несмотря на общее мнение среди благоприятных условий, о том, что важно иметь ≥3 раз в день, ни в одном контролируемом методе не проводилось прямого сравнения последовательного приема пищи на здоровье человека. Этот пробел в знаниях был указан в отчете Консультативного комитета по диетическим рекомендациям за 2005 год как направление будущих исследований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"R10"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10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13" w:anchor="R11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11</w:t>
        </w:r>
      </w:hyperlink>
      <w:r>
        <w:rPr>
          <w:rFonts w:ascii="Cambria" w:hAnsi="Cambria"/>
          <w:color w:val="212121"/>
          <w:sz w:val="30"/>
          <w:szCs w:val="30"/>
        </w:rPr>
        <w:t> ).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Исследования на грызунах и обезьянах привели к появлению нескольких гипотез относительно клеточных и молекулярных принципов, благодаря которым ограничение в питании продлевает продолжительность жизни и защищает от болезней. Гипотеза окислительного стресса приводит к тому, что старение и возрастные заболевания вызывают кумулятивное окислительное повреждение белков, липидов и нуклеиновых кислот; за счет некоторого количества </w:t>
      </w:r>
      <w:proofErr w:type="spellStart"/>
      <w:r>
        <w:rPr>
          <w:rFonts w:ascii="Cambria" w:hAnsi="Cambria"/>
          <w:color w:val="212121"/>
          <w:sz w:val="30"/>
          <w:szCs w:val="30"/>
        </w:rPr>
        <w:t>оксирадикалов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образующихся в митохондриях, ограничение в питании замедляет старение и развитие заболеваний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"R12"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12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Вторая гипотеза заключается в том, что ограничения в питании полезны, прежде всего, из-за их стоимости на энергетический обмен; т. е. Повысьте чувствительность к инсулину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"R13"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13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Третья гипотеза, которая может иметь особое отношение к благотворному эффекту снижения частоты приема пищи/прерывистого голодания, заключается в том, что диетические ограничения вызывают легкую клеточную стрессовую реакцию, при которой клетки активируют экспрессию генов, которые позволяют им справляться со сложным стрессом. 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"R12"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12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Было показано, что некоторые последствия переменных изменений у животных, нахождения в режиме ограничения калорий или прерывистого голодания (или полу), снижения содержания инсулина и глюкозы в плазме, снижения артериального давления и периодических сердечных сокращений, а также хорошие показатели иммунной функции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t>8 </w:t>
      </w:r>
      <w:hyperlink r:id="rId14" w:anchor="R8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,</w:t>
        </w:r>
      </w:hyperlink>
      <w:r>
        <w:rPr>
          <w:rFonts w:ascii="Cambria" w:hAnsi="Cambria"/>
          <w:color w:val="212121"/>
          <w:sz w:val="30"/>
          <w:szCs w:val="30"/>
        </w:rPr>
        <w:t> 14) </w:t>
      </w:r>
      <w:hyperlink r:id="rId15" w:anchor="R14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. -16</w:t>
        </w:r>
      </w:hyperlink>
      <w:hyperlink r:id="rId16" w:anchor="R16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)</w:t>
        </w:r>
      </w:hyperlink>
      <w:r>
        <w:rPr>
          <w:rFonts w:ascii="Cambria" w:hAnsi="Cambria"/>
          <w:color w:val="212121"/>
          <w:sz w:val="30"/>
          <w:szCs w:val="30"/>
        </w:rPr>
        <w:t> .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Текущее </w:t>
      </w:r>
      <w:proofErr w:type="spellStart"/>
      <w:r>
        <w:rPr>
          <w:rFonts w:ascii="Cambria" w:hAnsi="Cambria"/>
          <w:color w:val="212121"/>
          <w:sz w:val="30"/>
          <w:szCs w:val="30"/>
        </w:rPr>
        <w:t>пилотное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исследование было проведено с определением контролируемой частоты приема пищи у мужчин и женщин среднего возраста с нормальным весом. Также были проведены исследования некоторых последствий и </w:t>
      </w:r>
      <w:proofErr w:type="spellStart"/>
      <w:r>
        <w:rPr>
          <w:rFonts w:ascii="Cambria" w:hAnsi="Cambria"/>
          <w:color w:val="212121"/>
          <w:sz w:val="30"/>
          <w:szCs w:val="30"/>
        </w:rPr>
        <w:t>биомаркеров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здоровья.</w:t>
      </w:r>
    </w:p>
    <w:p w:rsidR="00263A35" w:rsidRDefault="00263A35" w:rsidP="00263A35">
      <w:pPr>
        <w:shd w:val="clear" w:color="auto" w:fill="FFFFFF"/>
        <w:jc w:val="right"/>
        <w:rPr>
          <w:rFonts w:ascii="Cambria" w:hAnsi="Cambria"/>
          <w:color w:val="212121"/>
          <w:sz w:val="30"/>
          <w:szCs w:val="30"/>
        </w:rPr>
      </w:pPr>
      <w:hyperlink r:id="rId17" w:tooltip="Перейти к другим разделам на этой странице" w:history="1"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 xml:space="preserve">Идти </w:t>
        </w:r>
        <w:proofErr w:type="gramStart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к</w:t>
        </w:r>
        <w:proofErr w:type="gramEnd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:</w:t>
        </w:r>
      </w:hyperlink>
    </w:p>
    <w:p w:rsidR="00263A35" w:rsidRDefault="00263A35" w:rsidP="00263A35">
      <w:pPr>
        <w:pStyle w:val="2"/>
        <w:pBdr>
          <w:bottom w:val="single" w:sz="6" w:space="0" w:color="97B0C8"/>
        </w:pBdr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</w:pPr>
      <w:r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  <w:lastRenderedPageBreak/>
        <w:t>ПРЕДМЕТЫ И МЕТОДЫ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Предметы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>Здоровые мужчины и женщины в возрасте 40–50 лет были выбраны для рекламы в газетах Большой Вашингтона, округ Колумбия, агломерации. Включение в исследование основывалось на индексе массы тела (ИМТ; в кг/м </w:t>
      </w:r>
      <w:r>
        <w:rPr>
          <w:rFonts w:ascii="Cambria" w:hAnsi="Cambria"/>
          <w:color w:val="212121"/>
          <w:sz w:val="23"/>
          <w:szCs w:val="23"/>
          <w:vertAlign w:val="superscript"/>
        </w:rPr>
        <w:t>2</w:t>
      </w:r>
      <w:proofErr w:type="gramStart"/>
      <w:r>
        <w:rPr>
          <w:rFonts w:ascii="Cambria" w:hAnsi="Cambria"/>
          <w:color w:val="212121"/>
          <w:sz w:val="30"/>
          <w:szCs w:val="30"/>
        </w:rPr>
        <w:t> )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с 18 до 25 лет и обычном режиме питания 3 раза в день. Субъекты наблюдения, если они сообщили об употреблении табака, недавней беременности или кормлении грудью, </w:t>
      </w:r>
      <w:proofErr w:type="spellStart"/>
      <w:proofErr w:type="gramStart"/>
      <w:r>
        <w:rPr>
          <w:rFonts w:ascii="Cambria" w:hAnsi="Cambria"/>
          <w:color w:val="212121"/>
          <w:sz w:val="30"/>
          <w:szCs w:val="30"/>
        </w:rPr>
        <w:t>сердечно-сосудистых</w:t>
      </w:r>
      <w:proofErr w:type="spellEnd"/>
      <w:proofErr w:type="gramEnd"/>
      <w:r>
        <w:rPr>
          <w:rFonts w:ascii="Cambria" w:hAnsi="Cambria"/>
          <w:color w:val="212121"/>
          <w:sz w:val="30"/>
          <w:szCs w:val="30"/>
        </w:rPr>
        <w:t xml:space="preserve"> заболеваниях в анамнезе или использовании лекарств от </w:t>
      </w:r>
      <w:proofErr w:type="spellStart"/>
      <w:r>
        <w:rPr>
          <w:rFonts w:ascii="Cambria" w:hAnsi="Cambria"/>
          <w:color w:val="212121"/>
          <w:sz w:val="30"/>
          <w:szCs w:val="30"/>
        </w:rPr>
        <w:t>сердечно-сосудистых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заболеваний, гипертонии, диабета, болезненных заболеваний, рака или потери профессиональной деятельности высокого риска (последний критерий риска был обусловлено головокружением или слабостью во время фазы пропускания еды). Включение в исследование было одобрено врачом на основе исторических данных, результатов анализов крови и мочи, а также визуального осмотра.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Все субъекты дали письменное информированное согласие. Протокол эксперимента был одобрен Комитетом по исследованиям на людях Школы общественного здравоохранения </w:t>
      </w:r>
      <w:proofErr w:type="spellStart"/>
      <w:r>
        <w:rPr>
          <w:rFonts w:ascii="Cambria" w:hAnsi="Cambria"/>
          <w:color w:val="212121"/>
          <w:sz w:val="30"/>
          <w:szCs w:val="30"/>
        </w:rPr>
        <w:t>Блумберга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Университета Джонса </w:t>
      </w:r>
      <w:proofErr w:type="spellStart"/>
      <w:r>
        <w:rPr>
          <w:rFonts w:ascii="Cambria" w:hAnsi="Cambria"/>
          <w:color w:val="212121"/>
          <w:sz w:val="30"/>
          <w:szCs w:val="30"/>
        </w:rPr>
        <w:t>Хопкинса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 Институциональным наблюдательным советом Исследовательского института </w:t>
      </w:r>
      <w:proofErr w:type="spellStart"/>
      <w:r>
        <w:rPr>
          <w:rFonts w:ascii="Cambria" w:hAnsi="Cambria"/>
          <w:color w:val="212121"/>
          <w:sz w:val="30"/>
          <w:szCs w:val="30"/>
        </w:rPr>
        <w:t>MedStar</w:t>
      </w:r>
      <w:proofErr w:type="spellEnd"/>
      <w:r>
        <w:rPr>
          <w:rFonts w:ascii="Cambria" w:hAnsi="Cambria"/>
          <w:color w:val="212121"/>
          <w:sz w:val="30"/>
          <w:szCs w:val="30"/>
        </w:rPr>
        <w:t>. Субъектам была выплачена компенсация за участие в обучении.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Дизайнерские исследования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Это исследование привело к </w:t>
      </w:r>
      <w:proofErr w:type="spellStart"/>
      <w:r>
        <w:rPr>
          <w:rFonts w:ascii="Cambria" w:hAnsi="Cambria"/>
          <w:color w:val="212121"/>
          <w:sz w:val="30"/>
          <w:szCs w:val="30"/>
        </w:rPr>
        <w:t>рандомизированному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перекрестному дизайну с двумя периодами лечения по 8 недель. В течение периодов лечения субъекты потребляют все свои калории для поддержания веса, рассчитывая их либо на 3 приема пищи в день (контрольная диета), либо на 1 прием пищи в день (экспериментальная диета). Между курсами лечения был включен 11-недельный период отмывания. Контрольная диета, состоящая из 3-х приемов пищи в день (завтрак, обед и ужин), а Пробная диета с пропуском приема пищи (или 1 прием пищи в день), составленная из такого же ежедневного количества пищи, съеденной в течение 4-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часового периода в ранний вечер. Субъекты кормились с такой калорийностью, которая изменяла бы массу тела, поэтому частота приема пищи была бывшим существенным изменением в их рационе в ходе исследования. Исследование стало основанием для продвижения экономического развития сельского хозяйства США, </w:t>
      </w:r>
      <w:proofErr w:type="spellStart"/>
      <w:r>
        <w:rPr>
          <w:rFonts w:ascii="Cambria" w:hAnsi="Cambria"/>
          <w:color w:val="212121"/>
          <w:sz w:val="30"/>
          <w:szCs w:val="30"/>
        </w:rPr>
        <w:t>Белтсвилльского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исследовательского центра питания человека (BHNRC; </w:t>
      </w:r>
      <w:proofErr w:type="spellStart"/>
      <w:r>
        <w:rPr>
          <w:rFonts w:ascii="Cambria" w:hAnsi="Cambria"/>
          <w:color w:val="212121"/>
          <w:sz w:val="30"/>
          <w:szCs w:val="30"/>
        </w:rPr>
        <w:t>Белтсвилл</w:t>
      </w:r>
      <w:proofErr w:type="spellEnd"/>
      <w:r>
        <w:rPr>
          <w:rFonts w:ascii="Cambria" w:hAnsi="Cambria"/>
          <w:color w:val="212121"/>
          <w:sz w:val="30"/>
          <w:szCs w:val="30"/>
        </w:rPr>
        <w:t>, Мэриленд) и учреждения института старения (NIA; Балтимор, Мэриленд).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Учебные диеты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Каждый день испытуемые ужинали в Центре исследований человека BHNRC под наблюдением дипломированного диетолога. В конце ужина поднос с едой проверялся, чтобы убедиться в полном потреблении пищи. Все завтраки и обеды были упакованы на вынос. Во время исследования было разрешено употреблять только продукты, предоставленные Центром исследований на людях. 7-дневный цикл меню типичных американских продуктов был составлен с использованием программного обеспечения NUTRITIONIST PRO (версия 1.3; </w:t>
      </w:r>
      <w:proofErr w:type="spellStart"/>
      <w:r>
        <w:rPr>
          <w:rFonts w:ascii="Cambria" w:hAnsi="Cambria"/>
          <w:color w:val="212121"/>
          <w:sz w:val="30"/>
          <w:szCs w:val="30"/>
        </w:rPr>
        <w:t>Axxya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Systems</w:t>
      </w:r>
      <w:proofErr w:type="spellEnd"/>
      <w:r>
        <w:rPr>
          <w:rFonts w:ascii="Cambria" w:hAnsi="Cambria"/>
          <w:color w:val="212121"/>
          <w:sz w:val="30"/>
          <w:szCs w:val="30"/>
        </w:rPr>
        <w:t>, Стаффорд, Техас).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В течение первых 2 недель исследования субъекты, случайно распределенные по диете с 1 приемом пищи в день, требуют 2 приема пищи в день (обед и ужин); В течение следующих 6 недель вся пища потреблялась между 17:00 и 21:00, что составляет минимальную продолжительность голодания 20 часов в день. При сохранении такого распределения </w:t>
      </w:r>
      <w:proofErr w:type="spellStart"/>
      <w:r>
        <w:rPr>
          <w:rFonts w:ascii="Cambria" w:hAnsi="Cambria"/>
          <w:color w:val="212121"/>
          <w:sz w:val="30"/>
          <w:szCs w:val="30"/>
        </w:rPr>
        <w:t>макронутриентов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gramStart"/>
      <w:r>
        <w:rPr>
          <w:rFonts w:ascii="Cambria" w:hAnsi="Cambria"/>
          <w:color w:val="212121"/>
          <w:sz w:val="30"/>
          <w:szCs w:val="30"/>
        </w:rPr>
        <w:t>между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gramStart"/>
      <w:r>
        <w:rPr>
          <w:rFonts w:ascii="Cambria" w:hAnsi="Cambria"/>
          <w:color w:val="212121"/>
          <w:sz w:val="30"/>
          <w:szCs w:val="30"/>
        </w:rPr>
        <w:t>экспериментальным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и контрольным рационами продукты на завтрак и обед были заменены продуктами для ужина. Энергоемкие продукты были выбраны для того, чтобы помочь сократить объем потребляемой пищи.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Субъектам разрешено употреблять неограниченное количество некалорийных продуктов, таких как вода, кофе (без сахара и молока), диетические безалкогольные напитки, соль и перец. Каждому испытуемому предоставлялся двухдневный аварийный запас еды, соответствующий протоколу исследования, для использования в любой ненастной ситуации. Субъекты должны потреблять все </w:t>
      </w:r>
      <w:proofErr w:type="gramStart"/>
      <w:r>
        <w:rPr>
          <w:rFonts w:ascii="Cambria" w:hAnsi="Cambria"/>
          <w:color w:val="212121"/>
          <w:sz w:val="30"/>
          <w:szCs w:val="30"/>
        </w:rPr>
        <w:t>продукты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и только те продукты, которые были предоставлены Центром исследований на людях, в течение </w:t>
      </w:r>
      <w:r>
        <w:rPr>
          <w:rFonts w:ascii="Cambria" w:hAnsi="Cambria"/>
          <w:color w:val="212121"/>
          <w:sz w:val="30"/>
          <w:szCs w:val="30"/>
        </w:rPr>
        <w:lastRenderedPageBreak/>
        <w:t>ограниченного времени в течение контролируемых периодов кормления.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>Массу тела измеряли каждый день перед ужином, когда субъекты находились в учреждении. Чтобы испытуемые поддерживали постоянный вес тела во время исследования, потребление энергии корректировалось с шагом 200 ккал. Энергетические методы для поддержания веса рассчитывались с использованием формулы Харриса-Бенедикта, которая измеряет базовые затраты энергии, и умножались на коэффициент активности 1,3–1,5. Эта формула доказала свою эффективность при обоснованном подходе к поддержанию веса на нашем предприятии. Субъекты заполняли ежедневную анкету относительно своего общего состояния здоровья; любые употребляемые лекарства, отпускаемые по рецепту или без рецепта; факторы, связанные с соблюдением диеты; и выполненные игры; Анкета также предоставила испытуемому возможность задавать собственные вопросы о питании. Субъектам было предложено поддерживать обычный режим тренировок на протяжении всего исследования.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Физиологические измерения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Измеряемыми переменными являются артериальное давление, частота сердечных сокращений, температура тела и состав тела. Эти измерения собирались исходно, через 4 недели и в конце каждого из двух периодов лечения. Вкратце, субъекты сидели в тихой комнате в течение ≈5 минут, а кровяное давление и частота сердечных сокращений измерялись 3 раза с помощью компактного монитора </w:t>
      </w:r>
      <w:proofErr w:type="spellStart"/>
      <w:r>
        <w:rPr>
          <w:rFonts w:ascii="Cambria" w:hAnsi="Cambria"/>
          <w:color w:val="212121"/>
          <w:sz w:val="30"/>
          <w:szCs w:val="30"/>
        </w:rPr>
        <w:t>Dinamap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(модель TS; </w:t>
      </w:r>
      <w:proofErr w:type="spellStart"/>
      <w:r>
        <w:rPr>
          <w:rFonts w:ascii="Cambria" w:hAnsi="Cambria"/>
          <w:color w:val="212121"/>
          <w:sz w:val="30"/>
          <w:szCs w:val="30"/>
        </w:rPr>
        <w:t>Critikon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Тампа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Флорида). Температуру тела измеряли с помощью </w:t>
      </w:r>
      <w:proofErr w:type="spellStart"/>
      <w:r>
        <w:rPr>
          <w:rFonts w:ascii="Cambria" w:hAnsi="Cambria"/>
          <w:color w:val="212121"/>
          <w:sz w:val="30"/>
          <w:szCs w:val="30"/>
        </w:rPr>
        <w:t>Dinamap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или портативного </w:t>
      </w:r>
      <w:proofErr w:type="spellStart"/>
      <w:r>
        <w:rPr>
          <w:rFonts w:ascii="Cambria" w:hAnsi="Cambria"/>
          <w:color w:val="212121"/>
          <w:sz w:val="30"/>
          <w:szCs w:val="30"/>
        </w:rPr>
        <w:t>перорального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термометра (</w:t>
      </w:r>
      <w:proofErr w:type="spellStart"/>
      <w:r>
        <w:rPr>
          <w:rFonts w:ascii="Cambria" w:hAnsi="Cambria"/>
          <w:color w:val="212121"/>
          <w:sz w:val="30"/>
          <w:szCs w:val="30"/>
        </w:rPr>
        <w:t>ADtempIII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; </w:t>
      </w:r>
      <w:proofErr w:type="spellStart"/>
      <w:r>
        <w:rPr>
          <w:rFonts w:ascii="Cambria" w:hAnsi="Cambria"/>
          <w:color w:val="212121"/>
          <w:sz w:val="30"/>
          <w:szCs w:val="30"/>
        </w:rPr>
        <w:t>American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Diagnostic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Corp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Хауппож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Нью-Йорк). Состав тела измеряли с помощью биоэлектрического </w:t>
      </w:r>
      <w:proofErr w:type="spellStart"/>
      <w:r>
        <w:rPr>
          <w:rFonts w:ascii="Cambria" w:hAnsi="Cambria"/>
          <w:color w:val="212121"/>
          <w:sz w:val="30"/>
          <w:szCs w:val="30"/>
        </w:rPr>
        <w:t>импедансного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анализа (BIA) (модель TBF-300A; </w:t>
      </w:r>
      <w:proofErr w:type="spellStart"/>
      <w:r>
        <w:rPr>
          <w:rFonts w:ascii="Cambria" w:hAnsi="Cambria"/>
          <w:color w:val="212121"/>
          <w:sz w:val="30"/>
          <w:szCs w:val="30"/>
        </w:rPr>
        <w:t>Танита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Арлингтон-Хайтс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Иллинойс). Перед вещественными измерениями испытуемые голодали и воздерживались на основе обоснования. Субъективную сытость и голодание ежедневно перед ужином, как в экспериментальной, так и в контрольной диете с использованием 4 визуальных стандартных шкал (ВАШ), которые описывали голод, желание есть, количество еды, которую можно съесть, состояние </w:t>
      </w:r>
      <w:r>
        <w:rPr>
          <w:rFonts w:ascii="Cambria" w:hAnsi="Cambria"/>
          <w:color w:val="212121"/>
          <w:sz w:val="30"/>
          <w:szCs w:val="30"/>
        </w:rPr>
        <w:lastRenderedPageBreak/>
        <w:t>желудка</w:t>
      </w:r>
      <w:proofErr w:type="gramStart"/>
      <w:r>
        <w:rPr>
          <w:rFonts w:ascii="Cambria" w:hAnsi="Cambria"/>
          <w:color w:val="212121"/>
          <w:sz w:val="30"/>
          <w:szCs w:val="30"/>
        </w:rPr>
        <w:t>.</w:t>
      </w:r>
      <w:proofErr w:type="gramEnd"/>
      <w:r>
        <w:rPr>
          <w:rFonts w:ascii="Cambria" w:hAnsi="Cambria"/>
          <w:color w:val="212121"/>
          <w:sz w:val="30"/>
          <w:szCs w:val="30"/>
        </w:rPr>
        <w:t> </w:t>
      </w:r>
      <w:proofErr w:type="gramStart"/>
      <w:r>
        <w:rPr>
          <w:rFonts w:ascii="Cambria" w:hAnsi="Cambria"/>
          <w:color w:val="212121"/>
          <w:sz w:val="30"/>
          <w:szCs w:val="30"/>
        </w:rPr>
        <w:t>п</w:t>
      </w:r>
      <w:proofErr w:type="gramEnd"/>
      <w:r>
        <w:rPr>
          <w:rFonts w:ascii="Cambria" w:hAnsi="Cambria"/>
          <w:color w:val="212121"/>
          <w:sz w:val="30"/>
          <w:szCs w:val="30"/>
        </w:rPr>
        <w:t>олнота. Все ВАС имели длину 100 мм и на обоих концах были закреплены терминами, указывающими противоположные дескрипторы.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Сбор и анализ биологических образцов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Кровь собирали исходно, через 4 недели и в конце каждого из двух периодов лечения после как минимум 12-часового голодания. Все базовые создания были собраны утром. Образцы через 4 недели и в конце лечения собирали утром у субъектов, соблюдающих контрольную диету, и вечером (перед ужином) у субъектов, соблюдающих диету, 1 прием пищи в день. Кроме того, в качестве меры соблюдения режима лечения у субъектов, принимавших пищу 1 раз в день, в необъявленное время трижды брали крови </w:t>
      </w:r>
      <w:proofErr w:type="spellStart"/>
      <w:proofErr w:type="gramStart"/>
      <w:r>
        <w:rPr>
          <w:rFonts w:ascii="Cambria" w:hAnsi="Cambria"/>
          <w:color w:val="212121"/>
          <w:sz w:val="30"/>
          <w:szCs w:val="30"/>
        </w:rPr>
        <w:t>крови</w:t>
      </w:r>
      <w:proofErr w:type="spellEnd"/>
      <w:proofErr w:type="gramEnd"/>
      <w:r>
        <w:rPr>
          <w:rFonts w:ascii="Cambria" w:hAnsi="Cambria"/>
          <w:color w:val="212121"/>
          <w:sz w:val="30"/>
          <w:szCs w:val="30"/>
        </w:rPr>
        <w:t xml:space="preserve"> и анализировали стабильность глюкозы в крови натощак и </w:t>
      </w:r>
      <w:proofErr w:type="spellStart"/>
      <w:r>
        <w:rPr>
          <w:rFonts w:ascii="Cambria" w:hAnsi="Cambria"/>
          <w:color w:val="212121"/>
          <w:sz w:val="30"/>
          <w:szCs w:val="30"/>
        </w:rPr>
        <w:t>триацилглицерин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. Из собранных образцов крови приготовили </w:t>
      </w:r>
      <w:proofErr w:type="spellStart"/>
      <w:r>
        <w:rPr>
          <w:rFonts w:ascii="Cambria" w:hAnsi="Cambria"/>
          <w:color w:val="212121"/>
          <w:sz w:val="30"/>
          <w:szCs w:val="30"/>
        </w:rPr>
        <w:t>аликвоты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шейки, сыворотки и эритроцитов объемом 0,8–2,0 мл, которые хранили при -80</w:t>
      </w:r>
      <w:proofErr w:type="gramStart"/>
      <w:r>
        <w:rPr>
          <w:rFonts w:ascii="Cambria" w:hAnsi="Cambria"/>
          <w:color w:val="212121"/>
          <w:sz w:val="30"/>
          <w:szCs w:val="30"/>
        </w:rPr>
        <w:t xml:space="preserve"> °С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в </w:t>
      </w:r>
      <w:proofErr w:type="spellStart"/>
      <w:r>
        <w:rPr>
          <w:rFonts w:ascii="Cambria" w:hAnsi="Cambria"/>
          <w:color w:val="212121"/>
          <w:sz w:val="30"/>
          <w:szCs w:val="30"/>
        </w:rPr>
        <w:t>криопробирках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. Анализы образцов профилей липидов, комплексную метаболическую панель, общий анализ крови (CBC) и стабильность кортизола. Анализы проводятся в основной лаборатории NIA, Национальных институтах здравоохранения (Балтимор, Мэриленд) и в Медицинской лаборатории </w:t>
      </w:r>
      <w:proofErr w:type="spellStart"/>
      <w:r>
        <w:rPr>
          <w:rFonts w:ascii="Cambria" w:hAnsi="Cambria"/>
          <w:color w:val="212121"/>
          <w:sz w:val="30"/>
          <w:szCs w:val="30"/>
        </w:rPr>
        <w:t>Фэрфакса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</w:t>
      </w:r>
      <w:proofErr w:type="spellStart"/>
      <w:r>
        <w:rPr>
          <w:rFonts w:ascii="Cambria" w:hAnsi="Cambria"/>
          <w:color w:val="212121"/>
          <w:sz w:val="30"/>
          <w:szCs w:val="30"/>
        </w:rPr>
        <w:t>Шантильи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Вирджиния</w:t>
      </w:r>
      <w:proofErr w:type="spellEnd"/>
      <w:r>
        <w:rPr>
          <w:rFonts w:ascii="Cambria" w:hAnsi="Cambria"/>
          <w:color w:val="212121"/>
          <w:sz w:val="30"/>
          <w:szCs w:val="30"/>
        </w:rPr>
        <w:t>) с использованием стандартных процедур и мер контроля качества, предусмотренных Поправками для модернизации медицинских лабораторий [(CLIA) Интернет</w:t>
      </w:r>
      <w:proofErr w:type="gramStart"/>
      <w:r>
        <w:rPr>
          <w:rFonts w:ascii="Cambria" w:hAnsi="Cambria"/>
          <w:color w:val="212121"/>
          <w:sz w:val="30"/>
          <w:szCs w:val="30"/>
        </w:rPr>
        <w:t>. : </w:t>
      </w:r>
      <w:hyperlink r:id="rId18" w:tgtFrame="_blank" w:history="1">
        <w:proofErr w:type="gramEnd"/>
        <w:r>
          <w:rPr>
            <w:rStyle w:val="a3"/>
            <w:rFonts w:ascii="Cambria" w:hAnsi="Cambria"/>
            <w:color w:val="376FAA"/>
            <w:sz w:val="30"/>
            <w:szCs w:val="30"/>
          </w:rPr>
          <w:t>http://www.cms.hhs.gov/clia</w:t>
        </w:r>
      </w:hyperlink>
      <w:r>
        <w:rPr>
          <w:rFonts w:ascii="Cambria" w:hAnsi="Cambria"/>
          <w:color w:val="212121"/>
          <w:sz w:val="30"/>
          <w:szCs w:val="30"/>
        </w:rPr>
        <w:t xml:space="preserve"> (по состоянию на 1 января 2006 г.)]. Общий холестерин в плазме, холестерин ЛПВП и </w:t>
      </w:r>
      <w:proofErr w:type="spellStart"/>
      <w:r>
        <w:rPr>
          <w:rFonts w:ascii="Cambria" w:hAnsi="Cambria"/>
          <w:color w:val="212121"/>
          <w:sz w:val="30"/>
          <w:szCs w:val="30"/>
        </w:rPr>
        <w:t>триацилглицерин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измеряются </w:t>
      </w:r>
      <w:proofErr w:type="spellStart"/>
      <w:r>
        <w:rPr>
          <w:rFonts w:ascii="Cambria" w:hAnsi="Cambria"/>
          <w:color w:val="212121"/>
          <w:sz w:val="30"/>
          <w:szCs w:val="30"/>
        </w:rPr>
        <w:t>ферментативно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с помощью коммерческих наборов (</w:t>
      </w:r>
      <w:proofErr w:type="spellStart"/>
      <w:r>
        <w:rPr>
          <w:rFonts w:ascii="Cambria" w:hAnsi="Cambria"/>
          <w:color w:val="212121"/>
          <w:sz w:val="30"/>
          <w:szCs w:val="30"/>
        </w:rPr>
        <w:t>Johnson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&amp; </w:t>
      </w:r>
      <w:proofErr w:type="spellStart"/>
      <w:r>
        <w:rPr>
          <w:rFonts w:ascii="Cambria" w:hAnsi="Cambria"/>
          <w:color w:val="212121"/>
          <w:sz w:val="30"/>
          <w:szCs w:val="30"/>
        </w:rPr>
        <w:t>Johnson</w:t>
      </w:r>
      <w:proofErr w:type="spellEnd"/>
      <w:r>
        <w:rPr>
          <w:rFonts w:ascii="Cambria" w:hAnsi="Cambria"/>
          <w:color w:val="212121"/>
          <w:sz w:val="30"/>
          <w:szCs w:val="30"/>
        </w:rPr>
        <w:t>/</w:t>
      </w:r>
      <w:proofErr w:type="spellStart"/>
      <w:r>
        <w:rPr>
          <w:rFonts w:ascii="Cambria" w:hAnsi="Cambria"/>
          <w:color w:val="212121"/>
          <w:sz w:val="30"/>
          <w:szCs w:val="30"/>
        </w:rPr>
        <w:t>Ortho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Clinical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Diagnostics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Раритан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Нью-Джерси) на анализаторе </w:t>
      </w:r>
      <w:proofErr w:type="spellStart"/>
      <w:r>
        <w:rPr>
          <w:rFonts w:ascii="Cambria" w:hAnsi="Cambria"/>
          <w:color w:val="212121"/>
          <w:sz w:val="30"/>
          <w:szCs w:val="30"/>
        </w:rPr>
        <w:t>Vitros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250 (</w:t>
      </w:r>
      <w:proofErr w:type="spellStart"/>
      <w:r>
        <w:rPr>
          <w:rFonts w:ascii="Cambria" w:hAnsi="Cambria"/>
          <w:color w:val="212121"/>
          <w:sz w:val="30"/>
          <w:szCs w:val="30"/>
        </w:rPr>
        <w:t>Johnson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&amp; </w:t>
      </w:r>
      <w:proofErr w:type="spellStart"/>
      <w:r>
        <w:rPr>
          <w:rFonts w:ascii="Cambria" w:hAnsi="Cambria"/>
          <w:color w:val="212121"/>
          <w:sz w:val="30"/>
          <w:szCs w:val="30"/>
        </w:rPr>
        <w:t>Johnson</w:t>
      </w:r>
      <w:proofErr w:type="spellEnd"/>
      <w:r>
        <w:rPr>
          <w:rFonts w:ascii="Cambria" w:hAnsi="Cambria"/>
          <w:color w:val="212121"/>
          <w:sz w:val="30"/>
          <w:szCs w:val="30"/>
        </w:rPr>
        <w:t>/</w:t>
      </w:r>
      <w:proofErr w:type="spellStart"/>
      <w:r>
        <w:rPr>
          <w:rFonts w:ascii="Cambria" w:hAnsi="Cambria"/>
          <w:color w:val="212121"/>
          <w:sz w:val="30"/>
          <w:szCs w:val="30"/>
        </w:rPr>
        <w:t>Ortho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Clinical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Diagnostics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). Концентрацию холестерина ЛПНП рассчитывали с использованием уравнений </w:t>
      </w:r>
      <w:proofErr w:type="spellStart"/>
      <w:r>
        <w:rPr>
          <w:rFonts w:ascii="Cambria" w:hAnsi="Cambria"/>
          <w:color w:val="212121"/>
          <w:sz w:val="30"/>
          <w:szCs w:val="30"/>
        </w:rPr>
        <w:t>Фридевальда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 др. 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"R17"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17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Концентрацию кортизола в сыворотке анализировали на </w:t>
      </w:r>
      <w:proofErr w:type="gramStart"/>
      <w:r>
        <w:rPr>
          <w:rFonts w:ascii="Cambria" w:hAnsi="Cambria"/>
          <w:color w:val="212121"/>
          <w:sz w:val="30"/>
          <w:szCs w:val="30"/>
        </w:rPr>
        <w:t>хемилюминесцентном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иммуноанализаторе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(IMMULITE 2000; </w:t>
      </w:r>
      <w:proofErr w:type="spellStart"/>
      <w:r>
        <w:rPr>
          <w:rFonts w:ascii="Cambria" w:hAnsi="Cambria"/>
          <w:color w:val="212121"/>
          <w:sz w:val="30"/>
          <w:szCs w:val="30"/>
        </w:rPr>
        <w:t>Diagnostic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Products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Corp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Лос-Анджелес, Калифорния) с </w:t>
      </w:r>
      <w:proofErr w:type="spellStart"/>
      <w:r>
        <w:rPr>
          <w:rFonts w:ascii="Cambria" w:hAnsi="Cambria"/>
          <w:color w:val="212121"/>
          <w:sz w:val="30"/>
          <w:szCs w:val="30"/>
        </w:rPr>
        <w:t>внутрианализовыми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 </w:t>
      </w:r>
      <w:proofErr w:type="spellStart"/>
      <w:r>
        <w:rPr>
          <w:rFonts w:ascii="Cambria" w:hAnsi="Cambria"/>
          <w:color w:val="212121"/>
          <w:sz w:val="30"/>
          <w:szCs w:val="30"/>
        </w:rPr>
        <w:t>межанализовыми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CV 5,3% и 7,2% соответственно.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lastRenderedPageBreak/>
        <w:t>Оценка физической активности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Мониторинг физической активности (PAM) проводился с использованием акселерометра </w:t>
      </w:r>
      <w:proofErr w:type="spellStart"/>
      <w:r>
        <w:rPr>
          <w:rFonts w:ascii="Cambria" w:hAnsi="Cambria"/>
          <w:color w:val="212121"/>
          <w:sz w:val="30"/>
          <w:szCs w:val="30"/>
        </w:rPr>
        <w:t>Actigraph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(MTI AM 7164–1,2; </w:t>
      </w:r>
      <w:proofErr w:type="spellStart"/>
      <w:r>
        <w:rPr>
          <w:rFonts w:ascii="Cambria" w:hAnsi="Cambria"/>
          <w:color w:val="212121"/>
          <w:sz w:val="30"/>
          <w:szCs w:val="30"/>
        </w:rPr>
        <w:t>Manufacturing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Technology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Inc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</w:t>
      </w:r>
      <w:proofErr w:type="spellStart"/>
      <w:r>
        <w:rPr>
          <w:rFonts w:ascii="Cambria" w:hAnsi="Cambria"/>
          <w:color w:val="212121"/>
          <w:sz w:val="30"/>
          <w:szCs w:val="30"/>
        </w:rPr>
        <w:t>Форт-Уолтон-Бич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Флорида) в течение 7 дней для средних показателей ежедневной и еженедельной активности. Измерения проводятся в течение 2-й недели (исходный уровень) и 7-й недели (окончание лечения) каждого периода лечения. Испытуемым было дано указание </w:t>
      </w:r>
      <w:proofErr w:type="gramStart"/>
      <w:r>
        <w:rPr>
          <w:rFonts w:ascii="Cambria" w:hAnsi="Cambria"/>
          <w:color w:val="212121"/>
          <w:sz w:val="30"/>
          <w:szCs w:val="30"/>
        </w:rPr>
        <w:t>носить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измеритель активности так, чтобы его можно было задерживать каждый день. Монитор активности, который отображал вид плотно прилегающего пояса вокруг талии заводской насечкой вверх, был настроен на считывание данных сегментами через 1 минуту. Испытуемые просили носить монитор на правом бедре, если они не сообщили, что не могут этого сделать. Независимо от размещения активности монитора, каждый испытуемый носил монитор на одной и той же стороне и в одном и том же месте на протяжении всего исследования. Помимо ношения мониторов, испытуемые вели небольшой ежедневный журнал, в котором подробно описывали время, когда монитор проявлял действия, которые выполнялись, когда монитор не был надет (например, сон или душ), а также любые выполняемые упражнения (</w:t>
      </w:r>
      <w:proofErr w:type="gramStart"/>
      <w:r>
        <w:rPr>
          <w:rFonts w:ascii="Cambria" w:hAnsi="Cambria"/>
          <w:color w:val="212121"/>
          <w:sz w:val="30"/>
          <w:szCs w:val="30"/>
        </w:rPr>
        <w:t>будь то монитор был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изношен или нет). В каждом периоде лечения испытуемых просили носить монитор в течение 9 дней с намерением получить данные в течение </w:t>
      </w:r>
      <w:proofErr w:type="gramStart"/>
      <w:r>
        <w:rPr>
          <w:rFonts w:ascii="Cambria" w:hAnsi="Cambria"/>
          <w:color w:val="212121"/>
          <w:sz w:val="30"/>
          <w:szCs w:val="30"/>
        </w:rPr>
        <w:t>7 полных дней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. Если испытуемый сообщил, что не носил монитор с активностью в течение определенного дня, его просили носить монитор еще один день. Данные о физической активности, полученные с помощью акселерометра </w:t>
      </w:r>
      <w:proofErr w:type="spellStart"/>
      <w:r>
        <w:rPr>
          <w:rFonts w:ascii="Cambria" w:hAnsi="Cambria"/>
          <w:color w:val="212121"/>
          <w:sz w:val="30"/>
          <w:szCs w:val="30"/>
        </w:rPr>
        <w:t>Actigraph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обрабатывались по методике, отработанной в нашем учреждении. Вкратце, большинство испытуемых обычно периодически снимают мониторы днем ​​или ночью, чтобы поспать (или и то, и другое). Анализы, проведенные в нашей лаборатории, показывают, что эти недостающие данные могут оказывать пагубное влияние на физическую прогнозируемую активность, поэтому мы разработали процедуру, которая рассматривает каждый день Диптиха как 24-часовой день, независимо от того, как долго монитор проявляется в любой день. Файлы монитора сканируются программой, которая измеряет время, проведенное снаружи, и присваивает этому времени постоянное значение. Остальные недостающие строки данных пятой более 20 минут «заменяются» путем условного расчета на </w:t>
      </w:r>
      <w:r>
        <w:rPr>
          <w:rFonts w:ascii="Cambria" w:hAnsi="Cambria"/>
          <w:color w:val="212121"/>
          <w:sz w:val="30"/>
          <w:szCs w:val="30"/>
        </w:rPr>
        <w:lastRenderedPageBreak/>
        <w:t>основе времени удаления монитора, указанного в журнале. Эти процедуры обработки данных значительно снижают изменчивость, присущую данным Диптихи.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proofErr w:type="gramStart"/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с</w:t>
      </w:r>
      <w:proofErr w:type="gramEnd"/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татистический анализ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Дисперсионный анализ (ANOVA), подходящий для двухпериодного перекрестного исследования с повторными измерениями в течение периода, используемого для измерения импульсного сигнала в переменном результате с использованием процедур MIXED в программном обеспечении SAS (версия 9.0; Институт SAS, </w:t>
      </w:r>
      <w:proofErr w:type="spellStart"/>
      <w:r>
        <w:rPr>
          <w:rFonts w:ascii="Cambria" w:hAnsi="Cambria"/>
          <w:color w:val="212121"/>
          <w:sz w:val="30"/>
          <w:szCs w:val="30"/>
        </w:rPr>
        <w:t>Кэри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Северная Каролина). Статистическая модель распределения по периоду, периода приема пищи, периода, времени внутри периода и времени взаимодействия × частоты приема пищи в качестве фиксированных эффектов. Период и время моделировались как повторяющиеся измерения. Последовательно вложенный фактор-субъект был включен в модель как случайный эффект. Первое наблюдение за период было включено как </w:t>
      </w:r>
      <w:proofErr w:type="spellStart"/>
      <w:r>
        <w:rPr>
          <w:rFonts w:ascii="Cambria" w:hAnsi="Cambria"/>
          <w:color w:val="212121"/>
          <w:sz w:val="30"/>
          <w:szCs w:val="30"/>
        </w:rPr>
        <w:t>ковариата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. Когда время взаимодействия × прием пищи заканчивалось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Style w:val="a8"/>
          <w:rFonts w:ascii="Cambria" w:hAnsi="Cambria"/>
          <w:color w:val="212121"/>
          <w:sz w:val="30"/>
          <w:szCs w:val="30"/>
        </w:rPr>
        <w:t>P</w:t>
      </w:r>
      <w:r>
        <w:rPr>
          <w:rFonts w:ascii="Cambria" w:hAnsi="Cambria"/>
          <w:color w:val="212121"/>
          <w:sz w:val="30"/>
          <w:szCs w:val="30"/>
        </w:rPr>
        <w:t> &lt;0,05), влияние приема пищи во время измерялось с использованием ANOVA с повторными измерениями. Если это взаимодействие было незначительным, мы почувствовали основной эффект приема пищи. Данные представлены как средние ± SEM.</w:t>
      </w:r>
    </w:p>
    <w:p w:rsidR="00263A35" w:rsidRDefault="00263A35" w:rsidP="00263A35">
      <w:pPr>
        <w:shd w:val="clear" w:color="auto" w:fill="FFFFFF"/>
        <w:jc w:val="right"/>
        <w:rPr>
          <w:rFonts w:ascii="Cambria" w:hAnsi="Cambria"/>
          <w:color w:val="212121"/>
          <w:sz w:val="30"/>
          <w:szCs w:val="30"/>
        </w:rPr>
      </w:pPr>
      <w:hyperlink r:id="rId19" w:tooltip="Перейти к другим разделам на этой странице" w:history="1"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 xml:space="preserve">Идти </w:t>
        </w:r>
        <w:proofErr w:type="gramStart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к</w:t>
        </w:r>
        <w:proofErr w:type="gramEnd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:</w:t>
        </w:r>
      </w:hyperlink>
    </w:p>
    <w:p w:rsidR="00263A35" w:rsidRDefault="00263A35" w:rsidP="00263A35">
      <w:pPr>
        <w:pStyle w:val="2"/>
        <w:pBdr>
          <w:bottom w:val="single" w:sz="6" w:space="0" w:color="97B0C8"/>
        </w:pBdr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</w:pPr>
      <w:r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  <w:t>ПОЛУЧЕННЫЕ РЕЗУЛЬТАТЫ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Характеристики предмета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На информационной встрече по исследованию наблюдалось шестьдесят девять человек. Тридцать пять дали письменному информированному соглашению, и 32 завершили процесс проверки. Двадцать один субъект (14 женщин, 7 мужчин) в конечном итоге был </w:t>
      </w:r>
      <w:proofErr w:type="spellStart"/>
      <w:r>
        <w:rPr>
          <w:rFonts w:ascii="Cambria" w:hAnsi="Cambria"/>
          <w:color w:val="212121"/>
          <w:sz w:val="30"/>
          <w:szCs w:val="30"/>
        </w:rPr>
        <w:t>рандомизирован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для лечения. Пятнадцать субъектов (10 женщин, 5 мужчин) завершили этап исследования с кормлением. Полные данные были проанализированы и представлены для 15 субъектов. В группе с трехразовой диетой 1 человек отказался от участия из-за неприязни к еде. Во время </w:t>
      </w:r>
      <w:r>
        <w:rPr>
          <w:rFonts w:ascii="Cambria" w:hAnsi="Cambria"/>
          <w:color w:val="212121"/>
          <w:sz w:val="30"/>
          <w:szCs w:val="30"/>
        </w:rPr>
        <w:lastRenderedPageBreak/>
        <w:t>диеты с 1 приемом пищи в день 5 участники отказались от участия из-за ограничений в расписании и проблем, связанных с распределением пищи, не связанных с исследованием. Только 1 из 5 участников ограничил участие именно из-за нежелания соблюдать диету 1 раз в день. </w:t>
      </w:r>
      <w:proofErr w:type="gramStart"/>
      <w:r>
        <w:rPr>
          <w:rFonts w:ascii="Cambria" w:hAnsi="Cambria"/>
          <w:color w:val="212121"/>
          <w:sz w:val="30"/>
          <w:szCs w:val="30"/>
        </w:rPr>
        <w:t>Средний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ИМТ указал на то, что субъекты должны находиться в пределах нормы. Физические характеристики 15 субъектов на исходном уровне представлены </w:t>
      </w:r>
      <w:proofErr w:type="spellStart"/>
      <w:proofErr w:type="gramStart"/>
      <w:r>
        <w:rPr>
          <w:rFonts w:ascii="Cambria" w:hAnsi="Cambria"/>
          <w:color w:val="212121"/>
          <w:sz w:val="30"/>
          <w:szCs w:val="30"/>
        </w:rPr>
        <w:t>в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"https://www-ncbi-nlm-nih-gov.translate.goog/pmc/articles/PMC2645638/table/T1/?_x_tr_sl=auto&amp;_x_tr_tl=ru&amp;_x_tr_hl=ru" \t "table"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Таблица</w:t>
      </w:r>
      <w:proofErr w:type="spellEnd"/>
      <w:r>
        <w:rPr>
          <w:rStyle w:val="a3"/>
          <w:rFonts w:ascii="Cambria" w:hAnsi="Cambria"/>
          <w:color w:val="376FAA"/>
          <w:sz w:val="30"/>
          <w:szCs w:val="30"/>
        </w:rPr>
        <w:t xml:space="preserve"> 1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.</w:t>
      </w:r>
    </w:p>
    <w:p w:rsidR="00263A35" w:rsidRDefault="00263A35" w:rsidP="00263A35">
      <w:pPr>
        <w:pStyle w:val="3"/>
        <w:shd w:val="clear" w:color="auto" w:fill="FFFCF0"/>
        <w:spacing w:before="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ТАБЛИЦА 1</w:t>
      </w:r>
    </w:p>
    <w:p w:rsidR="00263A35" w:rsidRDefault="00263A35" w:rsidP="00263A35">
      <w:pPr>
        <w:pStyle w:val="a7"/>
        <w:shd w:val="clear" w:color="auto" w:fill="FFFCF0"/>
        <w:spacing w:before="0" w:beforeAutospacing="0" w:after="0" w:afterAutospacing="0"/>
        <w:rPr>
          <w:rFonts w:ascii="Cambria" w:hAnsi="Cambria"/>
          <w:color w:val="333333"/>
        </w:rPr>
      </w:pPr>
      <w:r>
        <w:rPr>
          <w:rFonts w:ascii="Cambria" w:hAnsi="Cambria"/>
          <w:color w:val="333333"/>
        </w:rPr>
        <w:t>Характеристики субъектов до начала контролируемого кормления </w:t>
      </w:r>
      <w:r>
        <w:rPr>
          <w:rFonts w:ascii="Cambria" w:hAnsi="Cambria"/>
          <w:color w:val="333333"/>
          <w:sz w:val="18"/>
          <w:szCs w:val="18"/>
          <w:vertAlign w:val="superscript"/>
        </w:rPr>
        <w:t>1</w:t>
      </w:r>
    </w:p>
    <w:tbl>
      <w:tblPr>
        <w:tblW w:w="0" w:type="auto"/>
        <w:tblBorders>
          <w:top w:val="single" w:sz="6" w:space="0" w:color="000000"/>
          <w:bottom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02"/>
        <w:gridCol w:w="1180"/>
      </w:tblGrid>
      <w:tr w:rsidR="00263A35" w:rsidTr="00263A35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Ценить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Возраст (лет)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45,0 ± 0,7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высота (</w:t>
            </w:r>
            <w:proofErr w:type="gramStart"/>
            <w:r>
              <w:t>см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168,0 ± 3,1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Вес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66,5 ± 3,1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ИМТ (кг/м </w:t>
            </w:r>
            <w:r>
              <w:rPr>
                <w:sz w:val="18"/>
                <w:szCs w:val="18"/>
                <w:vertAlign w:val="superscript"/>
              </w:rPr>
              <w:t>2</w:t>
            </w:r>
            <w:proofErr w:type="gramStart"/>
            <w:r>
              <w:t> 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23,4 ± 0,5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Жировая масса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16,2 ± 1,2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Безжировая</w:t>
            </w:r>
            <w:proofErr w:type="spellEnd"/>
            <w:r>
              <w:t xml:space="preserve"> масса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50,1 ± 2,9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Общее количество воды в камере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36,7 ± 2,1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Общий холестерин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182,0 ± 8,5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ЛПНП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109,1±8,6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ЛПВП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53,5 ± 3,9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Триацилглицерин</w:t>
            </w:r>
            <w:proofErr w:type="spellEnd"/>
            <w:r>
              <w:t xml:space="preserve">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97,1±8,6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Систолическое артериальное давление (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115,6 ± 4,2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Диастолическое</w:t>
            </w:r>
            <w:proofErr w:type="spellEnd"/>
            <w:r>
              <w:t xml:space="preserve"> артериальное давление (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68,1±2,6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Частота сердечных сокращений (ударов/мин)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65,6 ± 2,3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Температура тела (°С)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36,1 ± 0,2</w:t>
            </w:r>
          </w:p>
        </w:tc>
      </w:tr>
    </w:tbl>
    <w:p w:rsidR="00263A35" w:rsidRDefault="00263A35" w:rsidP="00263A35">
      <w:pPr>
        <w:shd w:val="clear" w:color="auto" w:fill="FFFCF0"/>
        <w:jc w:val="right"/>
        <w:rPr>
          <w:rFonts w:ascii="Cambria" w:hAnsi="Cambria"/>
          <w:color w:val="212121"/>
          <w:sz w:val="24"/>
          <w:szCs w:val="24"/>
        </w:rPr>
      </w:pPr>
      <w:hyperlink r:id="rId20" w:tgtFrame="object" w:history="1">
        <w:r>
          <w:rPr>
            <w:rStyle w:val="a3"/>
            <w:rFonts w:ascii="Cambria" w:hAnsi="Cambria"/>
            <w:color w:val="376FAA"/>
          </w:rPr>
          <w:t>Открыть в отдельном окне</w:t>
        </w:r>
      </w:hyperlink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1</w:t>
      </w:r>
      <w:proofErr w:type="gramStart"/>
      <w:r>
        <w:rPr>
          <w:rFonts w:ascii="Cambria" w:hAnsi="Cambria"/>
          <w:color w:val="333333"/>
        </w:rPr>
        <w:t> В</w:t>
      </w:r>
      <w:proofErr w:type="gramEnd"/>
      <w:r>
        <w:rPr>
          <w:rFonts w:ascii="Cambria" w:hAnsi="Cambria"/>
          <w:color w:val="333333"/>
        </w:rPr>
        <w:t>се значения</w:t>
      </w:r>
      <w:r>
        <w:rPr>
          <w:rStyle w:val="a8"/>
          <w:rFonts w:ascii="Cambria" w:hAnsi="Cambria"/>
          <w:color w:val="333333"/>
        </w:rPr>
        <w:t> </w:t>
      </w:r>
      <w:proofErr w:type="spellStart"/>
      <w:r>
        <w:rPr>
          <w:rStyle w:val="a8"/>
          <w:rFonts w:ascii="Cambria" w:hAnsi="Cambria"/>
          <w:color w:val="333333"/>
        </w:rPr>
        <w:t>Икс̄</w:t>
      </w:r>
      <w:r>
        <w:rPr>
          <w:rFonts w:ascii="Cambria" w:hAnsi="Cambria"/>
          <w:color w:val="333333"/>
        </w:rPr>
        <w:t>±</w:t>
      </w:r>
      <w:proofErr w:type="spellEnd"/>
      <w:r>
        <w:rPr>
          <w:rFonts w:ascii="Cambria" w:hAnsi="Cambria"/>
          <w:color w:val="333333"/>
        </w:rPr>
        <w:t xml:space="preserve"> СЭМ; </w:t>
      </w:r>
      <w:proofErr w:type="spellStart"/>
      <w:r>
        <w:rPr>
          <w:rStyle w:val="a8"/>
          <w:rFonts w:ascii="Cambria" w:hAnsi="Cambria"/>
          <w:color w:val="333333"/>
        </w:rPr>
        <w:t>n</w:t>
      </w:r>
      <w:proofErr w:type="spellEnd"/>
      <w:r>
        <w:rPr>
          <w:rFonts w:ascii="Cambria" w:hAnsi="Cambria"/>
          <w:color w:val="333333"/>
        </w:rPr>
        <w:t> = 15 (10 Ж, 5 М).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lastRenderedPageBreak/>
        <w:t>Диеты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Состав двух диет показан на </w:t>
      </w:r>
      <w:proofErr w:type="spellStart"/>
      <w:r>
        <w:rPr>
          <w:rFonts w:ascii="Cambria" w:hAnsi="Cambria"/>
          <w:color w:val="212121"/>
          <w:sz w:val="30"/>
          <w:szCs w:val="30"/>
        </w:rPr>
        <w:t>рисунке.</w:t>
      </w:r>
      <w:hyperlink r:id="rId21" w:tgtFrame="table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Таблица</w:t>
        </w:r>
        <w:proofErr w:type="spellEnd"/>
        <w:r>
          <w:rPr>
            <w:rStyle w:val="a3"/>
            <w:rFonts w:ascii="Cambria" w:hAnsi="Cambria"/>
            <w:color w:val="376FAA"/>
            <w:sz w:val="30"/>
            <w:szCs w:val="30"/>
          </w:rPr>
          <w:t xml:space="preserve"> 2</w:t>
        </w:r>
      </w:hyperlink>
      <w:r>
        <w:rPr>
          <w:rFonts w:ascii="Cambria" w:hAnsi="Cambria"/>
          <w:color w:val="212121"/>
          <w:sz w:val="30"/>
          <w:szCs w:val="30"/>
        </w:rPr>
        <w:t xml:space="preserve">. Приверженность субъектов рекомендуемой диете была расценена как чрезмерная на основании наблюдения за потреблением продуктов питания в учреждениях и анализа ответов в ежедневных анкетах. Случайное содержание </w:t>
      </w:r>
      <w:proofErr w:type="spellStart"/>
      <w:r>
        <w:rPr>
          <w:rFonts w:ascii="Cambria" w:hAnsi="Cambria"/>
          <w:color w:val="212121"/>
          <w:sz w:val="30"/>
          <w:szCs w:val="30"/>
        </w:rPr>
        <w:t>триацилглицерина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 глюкозы на тот момент показало, что соблюдение диеты с 1 приемом пищи в день было приемлемым. Средние содержания </w:t>
      </w:r>
      <w:proofErr w:type="spellStart"/>
      <w:r>
        <w:rPr>
          <w:rFonts w:ascii="Cambria" w:hAnsi="Cambria"/>
          <w:color w:val="212121"/>
          <w:sz w:val="30"/>
          <w:szCs w:val="30"/>
        </w:rPr>
        <w:t>триацилглицерина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 глюкозы составляют 64,4 ± 5,7 и 79,7 ± 1,9 мг/дл соответственно. Тридцать из 1650 ужинов (1,8%), предоставленных для всего исследования, были помещены для применения в качестве меры наказания. Среднесуточное потребление энергии во время лечения составляло 2364 ккал при 1-разовом рационе и 2429 ккал при 3-разовом рационе. Какого-либо ориентира в процентном содержании </w:t>
      </w:r>
      <w:proofErr w:type="spellStart"/>
      <w:r>
        <w:rPr>
          <w:rFonts w:ascii="Cambria" w:hAnsi="Cambria"/>
          <w:color w:val="212121"/>
          <w:sz w:val="30"/>
          <w:szCs w:val="30"/>
        </w:rPr>
        <w:t>макронутриентов</w:t>
      </w:r>
      <w:proofErr w:type="spellEnd"/>
      <w:r>
        <w:rPr>
          <w:rFonts w:ascii="Cambria" w:hAnsi="Cambria"/>
          <w:color w:val="212121"/>
          <w:sz w:val="30"/>
          <w:szCs w:val="30"/>
        </w:rPr>
        <w:t>, жирных кислот, холестерина и клетчатки между двумя рекомендуемыми диетами не было.</w:t>
      </w:r>
    </w:p>
    <w:p w:rsidR="00263A35" w:rsidRDefault="00263A35" w:rsidP="00263A35">
      <w:pPr>
        <w:pStyle w:val="3"/>
        <w:shd w:val="clear" w:color="auto" w:fill="FFFCF0"/>
        <w:spacing w:before="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ТАБЛИЦА 2</w:t>
      </w:r>
    </w:p>
    <w:p w:rsidR="00263A35" w:rsidRDefault="00263A35" w:rsidP="00263A35">
      <w:pPr>
        <w:pStyle w:val="a7"/>
        <w:shd w:val="clear" w:color="auto" w:fill="FFFCF0"/>
        <w:spacing w:before="0" w:beforeAutospacing="0" w:after="0" w:afterAutospacing="0"/>
        <w:rPr>
          <w:rFonts w:ascii="Cambria" w:hAnsi="Cambria"/>
          <w:color w:val="333333"/>
        </w:rPr>
      </w:pPr>
      <w:r>
        <w:rPr>
          <w:rFonts w:ascii="Cambria" w:hAnsi="Cambria"/>
          <w:color w:val="333333"/>
        </w:rPr>
        <w:t>Состав контролируемых диет </w:t>
      </w:r>
      <w:r>
        <w:rPr>
          <w:rFonts w:ascii="Cambria" w:hAnsi="Cambria"/>
          <w:color w:val="333333"/>
          <w:sz w:val="18"/>
          <w:szCs w:val="18"/>
          <w:vertAlign w:val="superscript"/>
        </w:rPr>
        <w:t>1</w:t>
      </w:r>
    </w:p>
    <w:tbl>
      <w:tblPr>
        <w:tblW w:w="0" w:type="auto"/>
        <w:tblBorders>
          <w:top w:val="single" w:sz="6" w:space="0" w:color="000000"/>
          <w:bottom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319"/>
        <w:gridCol w:w="2241"/>
        <w:gridCol w:w="2812"/>
      </w:tblGrid>
      <w:tr w:rsidR="00263A35" w:rsidTr="00263A35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прием пищи в день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3-х разовое питание в день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Белок (% энергии)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14,7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Жир (% энергии)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35,6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36,4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Углеводы (% энергии)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49,8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48,9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ПНЖК</w:t>
            </w:r>
            <w:proofErr w:type="gramStart"/>
            <w:r>
              <w:t>:М</w:t>
            </w:r>
            <w:proofErr w:type="gramEnd"/>
            <w:r>
              <w:t>НЖК:СФА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0,5:0,8:1,1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0,7:0,8:1,1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(мг/1000 ккал)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148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Пищевые волокна (мг/1000 ккал)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7.4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8,9</w:t>
            </w:r>
          </w:p>
        </w:tc>
      </w:tr>
    </w:tbl>
    <w:p w:rsidR="00263A35" w:rsidRDefault="00263A35" w:rsidP="00263A35">
      <w:pPr>
        <w:shd w:val="clear" w:color="auto" w:fill="FFFCF0"/>
        <w:jc w:val="right"/>
        <w:rPr>
          <w:rFonts w:ascii="Cambria" w:hAnsi="Cambria"/>
          <w:color w:val="212121"/>
          <w:sz w:val="24"/>
          <w:szCs w:val="24"/>
        </w:rPr>
      </w:pPr>
      <w:hyperlink r:id="rId22" w:tgtFrame="object" w:history="1">
        <w:r>
          <w:rPr>
            <w:rStyle w:val="a3"/>
            <w:rFonts w:ascii="Cambria" w:hAnsi="Cambria"/>
            <w:color w:val="376FAA"/>
          </w:rPr>
          <w:t>Открыть в отдельном окне</w:t>
        </w:r>
      </w:hyperlink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1</w:t>
      </w:r>
      <w:r>
        <w:rPr>
          <w:rFonts w:ascii="Cambria" w:hAnsi="Cambria"/>
          <w:color w:val="333333"/>
        </w:rPr>
        <w:t> Среднее ежедневное потребление для каждого субъекта в любом рационе составляет 2396,5 ккал. ПНЖК – полиненасыщенные жирные кислоты; МНЖК – мононенасыщенные жирные кислоты; НЖК, насыщенные жирные кислоты.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lastRenderedPageBreak/>
        <w:t>Артериальное давление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Систолическое и </w:t>
      </w:r>
      <w:proofErr w:type="spellStart"/>
      <w:r>
        <w:rPr>
          <w:rFonts w:ascii="Cambria" w:hAnsi="Cambria"/>
          <w:color w:val="212121"/>
          <w:sz w:val="30"/>
          <w:szCs w:val="30"/>
        </w:rPr>
        <w:t>диастолическое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артериальное давление было </w:t>
      </w:r>
      <w:proofErr w:type="gramStart"/>
      <w:r>
        <w:rPr>
          <w:rFonts w:ascii="Cambria" w:hAnsi="Cambria"/>
          <w:color w:val="212121"/>
          <w:sz w:val="30"/>
          <w:szCs w:val="30"/>
        </w:rPr>
        <w:t>значительно снижено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на ≈6% в период, когда субъекты потребляли 3 приема пищи в день, чем когда они потребляли 1 прием пищи в день. Никакого хорошего медицинского времени (измерений, проведенных на 4-й и 8-й неделе) или последовательности лечения артериального давления не наблюдалось. Между двумя режимами диеты не наблюдалось сигналов в частоте сердечных сокращений и температуры тела (</w:t>
      </w:r>
      <w:hyperlink r:id="rId23" w:tgtFrame="table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Таблица 3</w:t>
        </w:r>
      </w:hyperlink>
      <w:r>
        <w:rPr>
          <w:rFonts w:ascii="Cambria" w:hAnsi="Cambria"/>
          <w:color w:val="212121"/>
          <w:sz w:val="30"/>
          <w:szCs w:val="30"/>
        </w:rPr>
        <w:t>).</w:t>
      </w:r>
    </w:p>
    <w:p w:rsidR="00263A35" w:rsidRDefault="00263A35" w:rsidP="00263A35">
      <w:pPr>
        <w:pStyle w:val="3"/>
        <w:shd w:val="clear" w:color="auto" w:fill="FFFCF0"/>
        <w:spacing w:before="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ТАБЛИЦА 3</w:t>
      </w:r>
    </w:p>
    <w:p w:rsidR="00263A35" w:rsidRDefault="00263A35" w:rsidP="00263A35">
      <w:pPr>
        <w:pStyle w:val="a7"/>
        <w:shd w:val="clear" w:color="auto" w:fill="FFFCF0"/>
        <w:spacing w:before="0" w:beforeAutospacing="0" w:after="0" w:afterAutospacing="0"/>
        <w:rPr>
          <w:rFonts w:ascii="Cambria" w:hAnsi="Cambria"/>
          <w:color w:val="333333"/>
        </w:rPr>
      </w:pPr>
      <w:r>
        <w:rPr>
          <w:rFonts w:ascii="Cambria" w:hAnsi="Cambria"/>
          <w:color w:val="333333"/>
        </w:rPr>
        <w:t>Артериальное давление и состав тела субъектов после приема 1 или 3 приемов пищи в </w:t>
      </w:r>
      <w:r>
        <w:rPr>
          <w:rFonts w:ascii="Cambria" w:hAnsi="Cambria"/>
          <w:color w:val="333333"/>
          <w:sz w:val="18"/>
          <w:szCs w:val="18"/>
          <w:vertAlign w:val="superscript"/>
        </w:rPr>
        <w:t>1-й день</w:t>
      </w:r>
    </w:p>
    <w:tbl>
      <w:tblPr>
        <w:tblW w:w="0" w:type="auto"/>
        <w:tblBorders>
          <w:top w:val="single" w:sz="6" w:space="0" w:color="000000"/>
          <w:bottom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9"/>
        <w:gridCol w:w="1962"/>
        <w:gridCol w:w="2453"/>
        <w:gridCol w:w="693"/>
      </w:tblGrid>
      <w:tr w:rsidR="00263A35" w:rsidTr="00263A35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прием пищи в день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3-х разовое питание в день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rStyle w:val="a8"/>
                <w:b/>
                <w:bCs/>
              </w:rPr>
              <w:t>П</w:t>
            </w:r>
            <w:proofErr w:type="gramEnd"/>
            <w:r>
              <w:rPr>
                <w:rStyle w:val="a8"/>
                <w:b/>
                <w:bCs/>
              </w:rPr>
              <w:t> </w:t>
            </w:r>
            <w:r>
              <w:rPr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Систолическое артериальное давление (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116,1 ± 1,9 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109,5 ± 1,9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0,02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Диастолическое</w:t>
            </w:r>
            <w:proofErr w:type="spellEnd"/>
            <w:r>
              <w:t xml:space="preserve"> артериальное давление (</w:t>
            </w:r>
            <w:proofErr w:type="gramStart"/>
            <w:r>
              <w:t>мм</w:t>
            </w:r>
            <w:proofErr w:type="gramEnd"/>
            <w:r>
              <w:t xml:space="preserve"> </w:t>
            </w:r>
            <w:proofErr w:type="spellStart"/>
            <w:r>
              <w:t>рт</w:t>
            </w:r>
            <w:proofErr w:type="spellEnd"/>
            <w:r>
              <w:t>. ст.)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69,8 ± 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66,0 ± 1,3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0,04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Частота сердечных сокращений (ударов/мин)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70,3 ± 1,6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67,8 ± 1,7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0,30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Температура тела (°С)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36,3 ± 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35,9 ± 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0,53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Масса тела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65,9 ± 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67,3 ± 3,2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Жировая масса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14,2 ± 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16,3 ± 1,0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Безжировая</w:t>
            </w:r>
            <w:proofErr w:type="spellEnd"/>
            <w:r>
              <w:t xml:space="preserve"> масса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50,9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49,4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0,06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Общее количество воды в камере (</w:t>
            </w:r>
            <w:proofErr w:type="gramStart"/>
            <w:r>
              <w:t>кг</w:t>
            </w:r>
            <w:proofErr w:type="gram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37,2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right"/>
              <w:rPr>
                <w:sz w:val="24"/>
                <w:szCs w:val="24"/>
              </w:rPr>
            </w:pPr>
            <w:r>
              <w:t>36,1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0,05</w:t>
            </w:r>
          </w:p>
        </w:tc>
      </w:tr>
    </w:tbl>
    <w:p w:rsidR="00263A35" w:rsidRDefault="00263A35" w:rsidP="00263A35">
      <w:pPr>
        <w:shd w:val="clear" w:color="auto" w:fill="FFFCF0"/>
        <w:jc w:val="right"/>
        <w:rPr>
          <w:rFonts w:ascii="Cambria" w:hAnsi="Cambria"/>
          <w:color w:val="212121"/>
          <w:sz w:val="24"/>
          <w:szCs w:val="24"/>
        </w:rPr>
      </w:pPr>
      <w:hyperlink r:id="rId24" w:tgtFrame="object" w:history="1">
        <w:r>
          <w:rPr>
            <w:rStyle w:val="a3"/>
            <w:rFonts w:ascii="Cambria" w:hAnsi="Cambria"/>
            <w:color w:val="376FAA"/>
          </w:rPr>
          <w:t>Открыть в отдельном окне</w:t>
        </w:r>
      </w:hyperlink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1 </w:t>
      </w:r>
      <w:proofErr w:type="spellStart"/>
      <w:r>
        <w:rPr>
          <w:rStyle w:val="a8"/>
          <w:rFonts w:ascii="Cambria" w:hAnsi="Cambria"/>
          <w:color w:val="333333"/>
        </w:rPr>
        <w:t>н</w:t>
      </w:r>
      <w:proofErr w:type="spellEnd"/>
      <w:r>
        <w:rPr>
          <w:rFonts w:ascii="Cambria" w:hAnsi="Cambria"/>
          <w:color w:val="333333"/>
        </w:rPr>
        <w:t> = 15 (10 Ф, 5 М).</w:t>
      </w:r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2</w:t>
      </w:r>
      <w:r>
        <w:rPr>
          <w:rFonts w:ascii="Cambria" w:hAnsi="Cambria"/>
          <w:color w:val="333333"/>
        </w:rPr>
        <w:t> ANOVA с повторными измерениями внутри периода.</w:t>
      </w:r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3</w:t>
      </w:r>
      <w:r>
        <w:rPr>
          <w:rFonts w:ascii="Cambria" w:hAnsi="Cambria"/>
          <w:color w:val="333333"/>
        </w:rPr>
        <w:t> Метод наименьших квадратов</w:t>
      </w:r>
      <w:r>
        <w:rPr>
          <w:rStyle w:val="a8"/>
          <w:rFonts w:ascii="Cambria" w:hAnsi="Cambria"/>
          <w:color w:val="333333"/>
        </w:rPr>
        <w:t> </w:t>
      </w:r>
      <w:proofErr w:type="spellStart"/>
      <w:r>
        <w:rPr>
          <w:rStyle w:val="a8"/>
          <w:rFonts w:ascii="Cambria" w:hAnsi="Cambria"/>
          <w:color w:val="333333"/>
        </w:rPr>
        <w:t>Икс̄</w:t>
      </w:r>
      <w:r>
        <w:rPr>
          <w:rFonts w:ascii="Cambria" w:hAnsi="Cambria"/>
          <w:color w:val="333333"/>
        </w:rPr>
        <w:t>±</w:t>
      </w:r>
      <w:proofErr w:type="spellEnd"/>
      <w:r>
        <w:rPr>
          <w:rFonts w:ascii="Cambria" w:hAnsi="Cambria"/>
          <w:color w:val="333333"/>
        </w:rPr>
        <w:t xml:space="preserve"> SEM (все такие значения).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lastRenderedPageBreak/>
        <w:t>Визуальные оригинальные весы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Между двумя диетами наблюдался продолжительный эффект оценки голода, желания есть, сытости и предполагаемого потребления (т. е. количества пищи, которую испытуемые употребляют в пищу). Диета с 1 приемом пищи в день была значительно выше по голоду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Style w:val="a8"/>
          <w:rFonts w:ascii="Cambria" w:hAnsi="Cambria"/>
          <w:color w:val="212121"/>
          <w:sz w:val="30"/>
          <w:szCs w:val="30"/>
        </w:rPr>
        <w:t>P</w:t>
      </w:r>
      <w:r>
        <w:rPr>
          <w:rFonts w:ascii="Cambria" w:hAnsi="Cambria"/>
          <w:color w:val="212121"/>
          <w:sz w:val="30"/>
          <w:szCs w:val="30"/>
        </w:rPr>
        <w:t> = 0,003), желание есть ( </w:t>
      </w:r>
      <w:r>
        <w:rPr>
          <w:rStyle w:val="a8"/>
          <w:rFonts w:ascii="Cambria" w:hAnsi="Cambria"/>
          <w:color w:val="212121"/>
          <w:sz w:val="30"/>
          <w:szCs w:val="30"/>
        </w:rPr>
        <w:t>P</w:t>
      </w:r>
      <w:r>
        <w:rPr>
          <w:rFonts w:ascii="Cambria" w:hAnsi="Cambria"/>
          <w:color w:val="212121"/>
          <w:sz w:val="30"/>
          <w:szCs w:val="30"/>
        </w:rPr>
        <w:t> = 0,004) и предполагаемому потреблению ( </w:t>
      </w:r>
      <w:r>
        <w:rPr>
          <w:rStyle w:val="a8"/>
          <w:rFonts w:ascii="Cambria" w:hAnsi="Cambria"/>
          <w:color w:val="212121"/>
          <w:sz w:val="30"/>
          <w:szCs w:val="30"/>
        </w:rPr>
        <w:t>P</w:t>
      </w:r>
      <w:r>
        <w:rPr>
          <w:rFonts w:ascii="Cambria" w:hAnsi="Cambria"/>
          <w:color w:val="212121"/>
          <w:sz w:val="30"/>
          <w:szCs w:val="30"/>
        </w:rPr>
        <w:t xml:space="preserve"> = 0,006), чем диета с 3 приемами пищи в день. Ощущение сытости было значительно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Style w:val="a8"/>
          <w:rFonts w:ascii="Cambria" w:hAnsi="Cambria"/>
          <w:color w:val="212121"/>
          <w:sz w:val="30"/>
          <w:szCs w:val="30"/>
        </w:rPr>
        <w:t>P</w:t>
      </w:r>
      <w:r>
        <w:rPr>
          <w:rFonts w:ascii="Cambria" w:hAnsi="Cambria"/>
          <w:color w:val="212121"/>
          <w:sz w:val="30"/>
          <w:szCs w:val="30"/>
        </w:rPr>
        <w:t> = 0,001) ниже при диете с 1 приемом пищи в день, чем при диете с 3 приемами пищи в день. Помимо значительного эффекта лечения диетой, сравнительного временного эффекта (день исследования) наблюдались в отношении голода, желания есть, сытости и экспериментального потребления. В течение времени голодания желание есть, и предполагаемое потребление было значительно выше при диете с 1 приемом пищи в день, чем при диете с 3 приемами пищи в день. Сытость была значительно ниже в течение времени при питании с 1 приемом пищи в день, чем при питании с 3 приемами пищи в день (</w:t>
      </w:r>
      <w:hyperlink r:id="rId25" w:tgtFrame="figure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Рисунок 1</w:t>
        </w:r>
      </w:hyperlink>
      <w:r>
        <w:rPr>
          <w:rFonts w:ascii="Cambria" w:hAnsi="Cambria"/>
          <w:color w:val="212121"/>
          <w:sz w:val="30"/>
          <w:szCs w:val="30"/>
        </w:rPr>
        <w:t>).</w:t>
      </w:r>
    </w:p>
    <w:p w:rsidR="00263A35" w:rsidRDefault="00263A35" w:rsidP="00263A35">
      <w:pPr>
        <w:shd w:val="clear" w:color="auto" w:fill="FFFCF0"/>
        <w:jc w:val="center"/>
        <w:rPr>
          <w:rStyle w:val="a3"/>
          <w:color w:val="376FAA"/>
          <w:u w:val="none"/>
          <w:bdr w:val="none" w:sz="0" w:space="0" w:color="auto" w:frame="1"/>
        </w:rPr>
      </w:pPr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"https://www-ncbi-nlm-nih-gov.translate.goog/core/lw/2.0/html/tileshop_pmc/tileshop_pmc_inline.html?title=Click+on+image+to+zoom&amp;p=PMC3&amp;id=2645638_nihms45606f1.jpg&amp;_x_tr_sl=auto&amp;_x_tr_tl=ru&amp;_x_tr_hl=ru" \t "tileshopwindow"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</w:p>
    <w:p w:rsidR="00263A35" w:rsidRDefault="00263A35" w:rsidP="00263A35">
      <w:pPr>
        <w:shd w:val="clear" w:color="auto" w:fill="FFFCF0"/>
        <w:jc w:val="center"/>
        <w:rPr>
          <w:color w:val="212121"/>
        </w:rPr>
      </w:pPr>
      <w:r>
        <w:rPr>
          <w:rFonts w:ascii="Cambria" w:hAnsi="Cambria"/>
          <w:noProof/>
          <w:color w:val="376FAA"/>
          <w:sz w:val="30"/>
          <w:szCs w:val="30"/>
          <w:bdr w:val="none" w:sz="0" w:space="0" w:color="auto" w:frame="1"/>
          <w:lang w:eastAsia="ru-RU"/>
        </w:rPr>
        <w:drawing>
          <wp:inline distT="0" distB="0" distL="0" distR="0">
            <wp:extent cx="5553075" cy="4130100"/>
            <wp:effectExtent l="19050" t="0" r="9525" b="0"/>
            <wp:docPr id="1" name="Рисунок 1" descr="Внешний файл, содержащий изображение, иллюстрацию и т. д. Имя объекта — nihms45606f1.jpg.">
              <a:hlinkClick xmlns:a="http://schemas.openxmlformats.org/drawingml/2006/main" r:id="rId26" tgtFrame="&quot;tileshopwindow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нешний файл, содержащий изображение, иллюстрацию и т. д. Имя объекта — nihms45606f1.jpg.">
                      <a:hlinkClick r:id="rId26" tgtFrame="&quot;tileshopwindow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13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Cambria" w:hAnsi="Cambria"/>
          <w:color w:val="212121"/>
          <w:sz w:val="30"/>
          <w:szCs w:val="30"/>
        </w:rPr>
        <w:fldChar w:fldCharType="end"/>
      </w:r>
    </w:p>
    <w:p w:rsidR="00263A35" w:rsidRDefault="00263A35" w:rsidP="00263A35">
      <w:pPr>
        <w:shd w:val="clear" w:color="auto" w:fill="FFFCF0"/>
        <w:textAlignment w:val="top"/>
        <w:rPr>
          <w:rFonts w:ascii="Cambria" w:hAnsi="Cambria"/>
          <w:color w:val="333333"/>
          <w:sz w:val="24"/>
          <w:szCs w:val="24"/>
        </w:rPr>
      </w:pPr>
      <w:hyperlink r:id="rId28" w:tgtFrame="figure" w:history="1">
        <w:r>
          <w:rPr>
            <w:rStyle w:val="a3"/>
            <w:rFonts w:ascii="Cambria" w:hAnsi="Cambria"/>
            <w:color w:val="376FAA"/>
          </w:rPr>
          <w:t>РИСУНОК 1</w:t>
        </w:r>
      </w:hyperlink>
    </w:p>
    <w:p w:rsidR="00263A35" w:rsidRDefault="00263A35" w:rsidP="00263A35">
      <w:pPr>
        <w:pStyle w:val="a7"/>
        <w:shd w:val="clear" w:color="auto" w:fill="FFFCF0"/>
        <w:spacing w:before="0" w:beforeAutospacing="0" w:after="0" w:afterAutospacing="0"/>
        <w:textAlignment w:val="top"/>
        <w:rPr>
          <w:rFonts w:ascii="Cambria" w:hAnsi="Cambria"/>
          <w:color w:val="333333"/>
        </w:rPr>
      </w:pPr>
      <w:r>
        <w:rPr>
          <w:rFonts w:ascii="Cambria" w:hAnsi="Cambria"/>
          <w:color w:val="333333"/>
        </w:rPr>
        <w:t>Наименьших квадратов</w:t>
      </w:r>
      <w:r>
        <w:rPr>
          <w:rStyle w:val="a8"/>
          <w:rFonts w:ascii="Cambria" w:hAnsi="Cambria"/>
          <w:color w:val="333333"/>
        </w:rPr>
        <w:t> </w:t>
      </w:r>
      <w:proofErr w:type="spellStart"/>
      <w:r>
        <w:rPr>
          <w:rStyle w:val="a8"/>
          <w:rFonts w:ascii="Cambria" w:hAnsi="Cambria"/>
          <w:color w:val="333333"/>
        </w:rPr>
        <w:t>Икс̄</w:t>
      </w:r>
      <w:r>
        <w:rPr>
          <w:rFonts w:ascii="Cambria" w:hAnsi="Cambria"/>
          <w:color w:val="333333"/>
        </w:rPr>
        <w:t>Значения</w:t>
      </w:r>
      <w:proofErr w:type="spellEnd"/>
      <w:r>
        <w:rPr>
          <w:rFonts w:ascii="Cambria" w:hAnsi="Cambria"/>
          <w:color w:val="333333"/>
        </w:rPr>
        <w:t xml:space="preserve"> (± SEM) для оценок голода и сытости (A — голод; B — желание есть; C — сытость; и D — предполагаемое потребление еды), измерения проводятся ежедневно с использованием визуальных стандартных шкал (100 мм) в течение каждого периода исследования. </w:t>
      </w:r>
      <w:proofErr w:type="spellStart"/>
      <w:r>
        <w:rPr>
          <w:rStyle w:val="a8"/>
          <w:rFonts w:ascii="Cambria" w:hAnsi="Cambria"/>
          <w:color w:val="333333"/>
        </w:rPr>
        <w:t>n</w:t>
      </w:r>
      <w:proofErr w:type="spellEnd"/>
      <w:r>
        <w:rPr>
          <w:rFonts w:ascii="Cambria" w:hAnsi="Cambria"/>
          <w:color w:val="333333"/>
        </w:rPr>
        <w:t> = 15 (10</w:t>
      </w:r>
      <w:proofErr w:type="gramStart"/>
      <w:r>
        <w:rPr>
          <w:rFonts w:ascii="Cambria" w:hAnsi="Cambria"/>
          <w:color w:val="333333"/>
        </w:rPr>
        <w:t xml:space="preserve"> Ж</w:t>
      </w:r>
      <w:proofErr w:type="gramEnd"/>
      <w:r>
        <w:rPr>
          <w:rFonts w:ascii="Cambria" w:hAnsi="Cambria"/>
          <w:color w:val="333333"/>
        </w:rPr>
        <w:t>, 5 М). Был отмечен положительный эффект лечения между диетой с 1 приемом пищи в день и диетой с 3 приемами пищи в день для всех 4 оценок, </w:t>
      </w:r>
      <w:r>
        <w:rPr>
          <w:rStyle w:val="a8"/>
          <w:rFonts w:ascii="Cambria" w:hAnsi="Cambria"/>
          <w:color w:val="333333"/>
        </w:rPr>
        <w:t>P</w:t>
      </w:r>
      <w:r>
        <w:rPr>
          <w:rFonts w:ascii="Cambria" w:hAnsi="Cambria"/>
          <w:color w:val="333333"/>
        </w:rPr>
        <w:t> &lt;0,05 (по данным ANOVA с повторными измерениями за период). Значимое время взаимодействия × лечение (▲), </w:t>
      </w:r>
      <w:r>
        <w:rPr>
          <w:rStyle w:val="a8"/>
          <w:rFonts w:ascii="Cambria" w:hAnsi="Cambria"/>
          <w:color w:val="333333"/>
        </w:rPr>
        <w:t>P</w:t>
      </w:r>
      <w:r>
        <w:rPr>
          <w:rFonts w:ascii="Cambria" w:hAnsi="Cambria"/>
          <w:color w:val="333333"/>
        </w:rPr>
        <w:t> &lt;0,05.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Масса тела и состав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>Вес субъектов и тяжелая масса тела были снижены (1,4 и 2,1 кг соответственно) после соблюдения диеты с 1 приемом пищи в день, но не после соблюдения диеты с 3 приемами пищи в день. Никакого указания на обезжиренную массу и общее количество воды в схеме между получателями диеты не наблюдалось (</w:t>
      </w:r>
      <w:hyperlink r:id="rId29" w:tgtFrame="table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Таблица 3</w:t>
        </w:r>
      </w:hyperlink>
      <w:r>
        <w:rPr>
          <w:rFonts w:ascii="Cambria" w:hAnsi="Cambria"/>
          <w:color w:val="212121"/>
          <w:sz w:val="30"/>
          <w:szCs w:val="30"/>
        </w:rPr>
        <w:t>). Даже в 11-недельном периоде вымывания между двумя диетическими протоколами не было выявлено различий от исходного уровня по массе тела, густой массы, обезжиренной массы или общего количества воды в случайном порядке ни в одном из периодов исследования.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Физическая активность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>Не было выявлено каких-либо доказательств изменений в физической активности после учета диеты 1 раз в день или 3 приема пищи в день.</w:t>
      </w:r>
    </w:p>
    <w:p w:rsidR="00263A35" w:rsidRDefault="00263A35" w:rsidP="00263A35">
      <w:pPr>
        <w:pStyle w:val="3"/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Биологические образования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proofErr w:type="gramStart"/>
      <w:r>
        <w:rPr>
          <w:rFonts w:ascii="Cambria" w:hAnsi="Cambria"/>
          <w:color w:val="212121"/>
          <w:sz w:val="30"/>
          <w:szCs w:val="30"/>
        </w:rPr>
        <w:t xml:space="preserve">Потребление 1 раз в день снижало азот мочевины крови на 13,4%. Уровень ферментов печени в сыворотке - щелочная фосфатаза, </w:t>
      </w:r>
      <w:proofErr w:type="spellStart"/>
      <w:r>
        <w:rPr>
          <w:rFonts w:ascii="Cambria" w:hAnsi="Cambria"/>
          <w:color w:val="212121"/>
          <w:sz w:val="30"/>
          <w:szCs w:val="30"/>
        </w:rPr>
        <w:t>глутамин-пировиноградная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трансаминаза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в сыворотке и </w:t>
      </w:r>
      <w:proofErr w:type="spellStart"/>
      <w:r>
        <w:rPr>
          <w:rFonts w:ascii="Cambria" w:hAnsi="Cambria"/>
          <w:color w:val="212121"/>
          <w:sz w:val="30"/>
          <w:szCs w:val="30"/>
        </w:rPr>
        <w:t>глутамат-щавелевоуксусная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spellStart"/>
      <w:r>
        <w:rPr>
          <w:rFonts w:ascii="Cambria" w:hAnsi="Cambria"/>
          <w:color w:val="212121"/>
          <w:sz w:val="30"/>
          <w:szCs w:val="30"/>
        </w:rPr>
        <w:t>трансаминаза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в сыворотке были выше на 4,6%, 17,5% и 16,0% соответственно, когда субъекты потребляли 1 прием пищи в день, чем когда они потребляли 3 приема пищи в день.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 Сывороточный альбумин был на 4,5% выше, концентрация кортизола была на 48,9% ниже после приема 1 приема пищи в день, чем после приема 3 приема пищи в день. Общий уровень холестерина ЛПНП и ЛПВП был на 11,7%, 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16,8% и 8,4% выше, соответственно, у субъектов, потребляющих 1 прием пищи в день, чем у тех, кто потребляет 3 приема пищи в день. Гематологические переменные, которые существенно различаются между различными диетами, показателями гемоглобина, гематокрита и эритроцитов. Диеты не влияют на сывороточные цепи </w:t>
      </w:r>
      <w:proofErr w:type="spellStart"/>
      <w:r>
        <w:rPr>
          <w:rFonts w:ascii="Cambria" w:hAnsi="Cambria"/>
          <w:color w:val="212121"/>
          <w:sz w:val="30"/>
          <w:szCs w:val="30"/>
        </w:rPr>
        <w:t>креатинина</w:t>
      </w:r>
      <w:proofErr w:type="spellEnd"/>
      <w:r>
        <w:rPr>
          <w:rFonts w:ascii="Cambria" w:hAnsi="Cambria"/>
          <w:color w:val="212121"/>
          <w:sz w:val="30"/>
          <w:szCs w:val="30"/>
        </w:rPr>
        <w:t>, глюкозы, общего белка, мочевых кислот и всех других метаболических показателей (</w:t>
      </w:r>
      <w:hyperlink r:id="rId30" w:tgtFrame="table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Таблица 4</w:t>
        </w:r>
      </w:hyperlink>
      <w:r>
        <w:rPr>
          <w:rFonts w:ascii="Cambria" w:hAnsi="Cambria"/>
          <w:color w:val="212121"/>
          <w:sz w:val="30"/>
          <w:szCs w:val="30"/>
        </w:rPr>
        <w:t>).</w:t>
      </w:r>
    </w:p>
    <w:p w:rsidR="00263A35" w:rsidRDefault="00263A35" w:rsidP="00263A35">
      <w:pPr>
        <w:pStyle w:val="3"/>
        <w:shd w:val="clear" w:color="auto" w:fill="FFFCF0"/>
        <w:spacing w:before="0" w:line="450" w:lineRule="atLeast"/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</w:pPr>
      <w:r>
        <w:rPr>
          <w:rFonts w:ascii="Cambria" w:hAnsi="Cambria"/>
          <w:b w:val="0"/>
          <w:bCs w:val="0"/>
          <w:color w:val="734126"/>
          <w:spacing w:val="-2"/>
          <w:sz w:val="32"/>
          <w:szCs w:val="32"/>
        </w:rPr>
        <w:t>ТАБЛИЦА 4</w:t>
      </w:r>
    </w:p>
    <w:p w:rsidR="00263A35" w:rsidRDefault="00263A35" w:rsidP="00263A35">
      <w:pPr>
        <w:pStyle w:val="a7"/>
        <w:shd w:val="clear" w:color="auto" w:fill="FFFCF0"/>
        <w:spacing w:before="0" w:beforeAutospacing="0" w:after="0" w:afterAutospacing="0"/>
        <w:rPr>
          <w:rFonts w:ascii="Cambria" w:hAnsi="Cambria"/>
          <w:color w:val="333333"/>
        </w:rPr>
      </w:pPr>
      <w:r>
        <w:rPr>
          <w:rFonts w:ascii="Cambria" w:hAnsi="Cambria"/>
          <w:color w:val="333333"/>
        </w:rPr>
        <w:t>Метаболическая панель, липиды и гематологические показатели после приема 1 или 3 приема пищи в </w:t>
      </w:r>
      <w:r>
        <w:rPr>
          <w:rFonts w:ascii="Cambria" w:hAnsi="Cambria"/>
          <w:color w:val="333333"/>
          <w:sz w:val="18"/>
          <w:szCs w:val="18"/>
          <w:vertAlign w:val="superscript"/>
        </w:rPr>
        <w:t>1 день</w:t>
      </w:r>
    </w:p>
    <w:tbl>
      <w:tblPr>
        <w:tblW w:w="0" w:type="auto"/>
        <w:tblBorders>
          <w:top w:val="single" w:sz="6" w:space="0" w:color="000000"/>
          <w:bottom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790"/>
        <w:gridCol w:w="1761"/>
        <w:gridCol w:w="2053"/>
        <w:gridCol w:w="943"/>
      </w:tblGrid>
      <w:tr w:rsidR="00263A35" w:rsidTr="00263A35">
        <w:trPr>
          <w:tblHeader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1 прием пищи в день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3-х разовое питание в день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b/>
                <w:bCs/>
                <w:sz w:val="24"/>
                <w:szCs w:val="24"/>
              </w:rPr>
            </w:pPr>
            <w:proofErr w:type="gramStart"/>
            <w:r>
              <w:rPr>
                <w:rStyle w:val="a8"/>
                <w:b/>
                <w:bCs/>
              </w:rPr>
              <w:t>П</w:t>
            </w:r>
            <w:proofErr w:type="gramEnd"/>
            <w:r>
              <w:rPr>
                <w:rStyle w:val="a8"/>
                <w:b/>
                <w:bCs/>
              </w:rPr>
              <w:t> </w:t>
            </w:r>
            <w:r>
              <w:rPr>
                <w:b/>
                <w:bCs/>
                <w:sz w:val="18"/>
                <w:szCs w:val="18"/>
                <w:vertAlign w:val="superscript"/>
              </w:rPr>
              <w:t>2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Натрий (</w:t>
            </w:r>
            <w:proofErr w:type="spellStart"/>
            <w:r>
              <w:t>мэкв</w:t>
            </w:r>
            <w:proofErr w:type="spellEnd"/>
            <w:r>
              <w:t>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143,0 ± 0,8 </w:t>
            </w:r>
            <w:r>
              <w:rPr>
                <w:sz w:val="18"/>
                <w:szCs w:val="18"/>
                <w:vertAlign w:val="superscript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142,0 ± 0,8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0,29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Калий (</w:t>
            </w:r>
            <w:proofErr w:type="spellStart"/>
            <w:r>
              <w:t>мг-экв</w:t>
            </w:r>
            <w:proofErr w:type="spellEnd"/>
            <w:r>
              <w:t>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4,2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4,4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0,19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Хлорид (</w:t>
            </w:r>
            <w:proofErr w:type="spellStart"/>
            <w:r>
              <w:t>мэкв</w:t>
            </w:r>
            <w:proofErr w:type="spellEnd"/>
            <w:r>
              <w:t>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104,4 ± 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104,0 ± 0,5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0,27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Содержание углекислого газа (</w:t>
            </w:r>
            <w:proofErr w:type="spellStart"/>
            <w:r>
              <w:t>мэкв</w:t>
            </w:r>
            <w:proofErr w:type="spellEnd"/>
            <w:r>
              <w:t>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27,5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27,5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0,91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Анионный разрыв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11,2 ± 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10,8 ± 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0,29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Азот мочевины крови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12,9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14,9 ± 0,4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&lt; 0,0001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Креатинин</w:t>
            </w:r>
            <w:proofErr w:type="spellEnd"/>
            <w:r>
              <w:t xml:space="preserve">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0,9 ± 0,02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0,9 ± 0,02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0,35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 xml:space="preserve">Азот мочевины </w:t>
            </w:r>
            <w:proofErr w:type="spellStart"/>
            <w:r>
              <w:t>крови</w:t>
            </w:r>
            <w:proofErr w:type="gramStart"/>
            <w:r>
              <w:t>:к</w:t>
            </w:r>
            <w:proofErr w:type="gramEnd"/>
            <w:r>
              <w:t>реатинин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15,3 ± 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17,0 ± 0,7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Глюкоза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85,9 ± 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89,4 ± 1,5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0,14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Кальций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9,9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9,8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0,17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Фосфор (</w:t>
            </w:r>
            <w:proofErr w:type="gramStart"/>
            <w:r>
              <w:t>г</w:t>
            </w:r>
            <w:proofErr w:type="gramEnd"/>
            <w:r>
              <w:t>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3,5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3,6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0,40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Общий белок (</w:t>
            </w:r>
            <w:proofErr w:type="gramStart"/>
            <w:r>
              <w:t>г</w:t>
            </w:r>
            <w:proofErr w:type="gramEnd"/>
            <w:r>
              <w:t>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7,3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7,1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Альбумин (</w:t>
            </w:r>
            <w:proofErr w:type="gramStart"/>
            <w:r>
              <w:t>г</w:t>
            </w:r>
            <w:proofErr w:type="gramEnd"/>
            <w:r>
              <w:t>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4,4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4,2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Глобулин (</w:t>
            </w:r>
            <w:proofErr w:type="gramStart"/>
            <w:r>
              <w:t>г</w:t>
            </w:r>
            <w:proofErr w:type="gramEnd"/>
            <w:r>
              <w:t>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2,9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2,9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0,50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Альбумин</w:t>
            </w:r>
            <w:proofErr w:type="gramStart"/>
            <w:r>
              <w:t>:г</w:t>
            </w:r>
            <w:proofErr w:type="gramEnd"/>
            <w:r>
              <w:t>лобулин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1,5 ± 0,03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1,5 ± 0,03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0,28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lastRenderedPageBreak/>
              <w:t>Щелочная фосфатаза (МЕ/л)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69,5 ± 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66,3±2,8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 xml:space="preserve">Сывороточная </w:t>
            </w:r>
            <w:proofErr w:type="spellStart"/>
            <w:r>
              <w:t>глутамин-пировиноградная</w:t>
            </w:r>
            <w:proofErr w:type="spellEnd"/>
            <w:r>
              <w:t xml:space="preserve"> </w:t>
            </w:r>
            <w:proofErr w:type="spellStart"/>
            <w:r>
              <w:t>трансаминаза</w:t>
            </w:r>
            <w:proofErr w:type="spellEnd"/>
            <w:r>
              <w:t xml:space="preserve"> (МЕ/л)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40,0 ± 4,8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33,0 ± 4,8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 xml:space="preserve">Сывороточная </w:t>
            </w:r>
            <w:proofErr w:type="spellStart"/>
            <w:r>
              <w:t>глутаминовая</w:t>
            </w:r>
            <w:proofErr w:type="spellEnd"/>
            <w:r>
              <w:t xml:space="preserve"> </w:t>
            </w:r>
            <w:proofErr w:type="spellStart"/>
            <w:r>
              <w:t>щавелевоуксусная</w:t>
            </w:r>
            <w:proofErr w:type="spellEnd"/>
            <w:r>
              <w:t xml:space="preserve"> </w:t>
            </w:r>
            <w:proofErr w:type="spellStart"/>
            <w:r>
              <w:t>трансаминаза</w:t>
            </w:r>
            <w:proofErr w:type="spellEnd"/>
            <w:r>
              <w:t xml:space="preserve"> (МЕ/л)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28,7 ± 2,1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24,1 ± 2,1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Общий билирубин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0,7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0,7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0,43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proofErr w:type="spellStart"/>
            <w:r>
              <w:t>Триацилглицерин</w:t>
            </w:r>
            <w:proofErr w:type="spellEnd"/>
            <w:r>
              <w:t xml:space="preserve">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93,2 ± 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102,2 ± 7,7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0,08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216,5±5,3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191,0 ± 5,3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ЛПВП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61,9 ± 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56,7 ± 1,8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Холестерин ЛПНП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136,2 ± 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113,3 ± 4,0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 xml:space="preserve">Кортизол </w:t>
            </w:r>
            <w:proofErr w:type="gramStart"/>
            <w:r>
              <w:t>( </w:t>
            </w:r>
            <w:proofErr w:type="gramEnd"/>
            <w:r>
              <w:rPr>
                <w:rStyle w:val="a8"/>
              </w:rPr>
              <w:t>мкг</w:t>
            </w:r>
            <w:r>
              <w:t> 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7,2 ± 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14,1 ± 0,9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&lt;0,0001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Мочевая кислота (мг/дл)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4,6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4,5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0,75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Эритроциты (×10 </w:t>
            </w:r>
            <w:r>
              <w:rPr>
                <w:sz w:val="18"/>
                <w:szCs w:val="18"/>
                <w:vertAlign w:val="superscript"/>
              </w:rPr>
              <w:t>2</w:t>
            </w:r>
            <w:r>
              <w:t> /л)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4,3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4,5 ± 0,1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Гемоглобин (</w:t>
            </w:r>
            <w:proofErr w:type="gramStart"/>
            <w:r>
              <w:t>г</w:t>
            </w:r>
            <w:proofErr w:type="gramEnd"/>
            <w:r>
              <w:t>/дл)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13,2 ± 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13,6 ± 0,2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&lt;0,0001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Гематокрит</w:t>
            </w:r>
            <w:proofErr w:type="gramStart"/>
            <w:r>
              <w:t xml:space="preserve"> (%)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37,3 ± 1,2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40,1 ± 1,1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0,01</w:t>
            </w:r>
          </w:p>
        </w:tc>
      </w:tr>
      <w:tr w:rsidR="00263A35" w:rsidTr="00263A3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rPr>
                <w:sz w:val="24"/>
                <w:szCs w:val="24"/>
              </w:rPr>
            </w:pPr>
            <w:r>
              <w:t>Клетка среднего объема (</w:t>
            </w:r>
            <w:proofErr w:type="spellStart"/>
            <w:r>
              <w:t>фл</w:t>
            </w:r>
            <w:proofErr w:type="spellEnd"/>
            <w: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89,1 ± 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89,2 ± 0,3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8" w:type="dxa"/>
              <w:left w:w="96" w:type="dxa"/>
              <w:bottom w:w="48" w:type="dxa"/>
              <w:right w:w="96" w:type="dxa"/>
            </w:tcMar>
            <w:vAlign w:val="center"/>
            <w:hideMark/>
          </w:tcPr>
          <w:p w:rsidR="00263A35" w:rsidRDefault="00263A35">
            <w:pPr>
              <w:jc w:val="center"/>
              <w:rPr>
                <w:sz w:val="24"/>
                <w:szCs w:val="24"/>
              </w:rPr>
            </w:pPr>
            <w:r>
              <w:t>0,65</w:t>
            </w:r>
          </w:p>
        </w:tc>
      </w:tr>
    </w:tbl>
    <w:p w:rsidR="00263A35" w:rsidRDefault="00263A35" w:rsidP="00263A35">
      <w:pPr>
        <w:shd w:val="clear" w:color="auto" w:fill="FFFCF0"/>
        <w:jc w:val="right"/>
        <w:rPr>
          <w:rFonts w:ascii="Cambria" w:hAnsi="Cambria"/>
          <w:color w:val="212121"/>
          <w:sz w:val="24"/>
          <w:szCs w:val="24"/>
        </w:rPr>
      </w:pPr>
      <w:hyperlink r:id="rId31" w:tgtFrame="object" w:history="1">
        <w:r>
          <w:rPr>
            <w:rStyle w:val="a3"/>
            <w:rFonts w:ascii="Cambria" w:hAnsi="Cambria"/>
            <w:color w:val="376FAA"/>
          </w:rPr>
          <w:t>Открыть в отдельном окне</w:t>
        </w:r>
      </w:hyperlink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1 </w:t>
      </w:r>
      <w:proofErr w:type="spellStart"/>
      <w:r>
        <w:rPr>
          <w:rStyle w:val="a8"/>
          <w:rFonts w:ascii="Cambria" w:hAnsi="Cambria"/>
          <w:color w:val="333333"/>
        </w:rPr>
        <w:t>н</w:t>
      </w:r>
      <w:proofErr w:type="spellEnd"/>
      <w:r>
        <w:rPr>
          <w:rFonts w:ascii="Cambria" w:hAnsi="Cambria"/>
          <w:color w:val="333333"/>
        </w:rPr>
        <w:t> = 15 (10 Ф, 5 М).</w:t>
      </w:r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2</w:t>
      </w:r>
      <w:r>
        <w:rPr>
          <w:rFonts w:ascii="Cambria" w:hAnsi="Cambria"/>
          <w:color w:val="333333"/>
        </w:rPr>
        <w:t> ANOVA с повторными измерениями внутри периода.</w:t>
      </w:r>
    </w:p>
    <w:p w:rsidR="00263A35" w:rsidRDefault="00263A35" w:rsidP="00263A35">
      <w:pPr>
        <w:shd w:val="clear" w:color="auto" w:fill="FFFCF0"/>
        <w:rPr>
          <w:rFonts w:ascii="Cambria" w:hAnsi="Cambria"/>
          <w:color w:val="333333"/>
        </w:rPr>
      </w:pPr>
      <w:r>
        <w:rPr>
          <w:rFonts w:ascii="Cambria" w:hAnsi="Cambria"/>
          <w:color w:val="333333"/>
          <w:sz w:val="18"/>
          <w:szCs w:val="18"/>
          <w:vertAlign w:val="superscript"/>
        </w:rPr>
        <w:t>3</w:t>
      </w:r>
      <w:r>
        <w:rPr>
          <w:rFonts w:ascii="Cambria" w:hAnsi="Cambria"/>
          <w:color w:val="333333"/>
        </w:rPr>
        <w:t> Метод наименьших квадратов</w:t>
      </w:r>
      <w:r>
        <w:rPr>
          <w:rStyle w:val="a8"/>
          <w:rFonts w:ascii="Cambria" w:hAnsi="Cambria"/>
          <w:color w:val="333333"/>
        </w:rPr>
        <w:t> </w:t>
      </w:r>
      <w:proofErr w:type="spellStart"/>
      <w:r>
        <w:rPr>
          <w:rStyle w:val="a8"/>
          <w:rFonts w:ascii="Cambria" w:hAnsi="Cambria"/>
          <w:color w:val="333333"/>
        </w:rPr>
        <w:t>Икс̄</w:t>
      </w:r>
      <w:r>
        <w:rPr>
          <w:rFonts w:ascii="Cambria" w:hAnsi="Cambria"/>
          <w:color w:val="333333"/>
        </w:rPr>
        <w:t>±</w:t>
      </w:r>
      <w:proofErr w:type="spellEnd"/>
      <w:r>
        <w:rPr>
          <w:rFonts w:ascii="Cambria" w:hAnsi="Cambria"/>
          <w:color w:val="333333"/>
        </w:rPr>
        <w:t xml:space="preserve"> SEM (все такие значения).</w:t>
      </w:r>
    </w:p>
    <w:p w:rsidR="00263A35" w:rsidRDefault="00263A35" w:rsidP="00263A35">
      <w:pPr>
        <w:shd w:val="clear" w:color="auto" w:fill="FFFFFF"/>
        <w:jc w:val="right"/>
        <w:rPr>
          <w:rFonts w:ascii="Cambria" w:hAnsi="Cambria"/>
          <w:color w:val="212121"/>
          <w:sz w:val="30"/>
          <w:szCs w:val="30"/>
        </w:rPr>
      </w:pPr>
      <w:hyperlink r:id="rId32" w:tooltip="Перейти к другим разделам на этой странице" w:history="1"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 xml:space="preserve">Идти </w:t>
        </w:r>
        <w:proofErr w:type="gramStart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к</w:t>
        </w:r>
        <w:proofErr w:type="gramEnd"/>
        <w:r>
          <w:rPr>
            <w:rStyle w:val="a3"/>
            <w:rFonts w:ascii="Helvetica" w:hAnsi="Helvetica" w:cs="Helvetica"/>
            <w:color w:val="376FAA"/>
            <w:sz w:val="28"/>
            <w:szCs w:val="28"/>
          </w:rPr>
          <w:t>:</w:t>
        </w:r>
      </w:hyperlink>
    </w:p>
    <w:p w:rsidR="00263A35" w:rsidRDefault="00263A35" w:rsidP="00263A35">
      <w:pPr>
        <w:pStyle w:val="2"/>
        <w:pBdr>
          <w:bottom w:val="single" w:sz="6" w:space="0" w:color="97B0C8"/>
        </w:pBdr>
        <w:shd w:val="clear" w:color="auto" w:fill="FFFFFF"/>
        <w:spacing w:before="400" w:after="200" w:line="450" w:lineRule="atLeast"/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</w:pPr>
      <w:r>
        <w:rPr>
          <w:rFonts w:ascii="Cambria" w:hAnsi="Cambria"/>
          <w:b w:val="0"/>
          <w:bCs w:val="0"/>
          <w:color w:val="995733"/>
          <w:spacing w:val="-2"/>
          <w:sz w:val="34"/>
          <w:szCs w:val="34"/>
        </w:rPr>
        <w:t>ОБСУЖДЕНИЕ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Это исследование является одним из первых контролируемых </w:t>
      </w:r>
      <w:proofErr w:type="spellStart"/>
      <w:r>
        <w:rPr>
          <w:rFonts w:ascii="Cambria" w:hAnsi="Cambria"/>
          <w:color w:val="212121"/>
          <w:sz w:val="30"/>
          <w:szCs w:val="30"/>
        </w:rPr>
        <w:t>рандомизированных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медицинских исследований, в которых </w:t>
      </w:r>
      <w:r>
        <w:rPr>
          <w:rFonts w:ascii="Cambria" w:hAnsi="Cambria"/>
          <w:color w:val="212121"/>
          <w:sz w:val="30"/>
          <w:szCs w:val="30"/>
        </w:rPr>
        <w:lastRenderedPageBreak/>
        <w:t>оценивалось влияние контролируемой частоты приема пищи на взрослых людей среднего возраста с нормальным весом. Мы обнаружили, что соблюдение диеты с пропуском приема пищи (т.е. 1 прием пищи в день), а не традиционная диета с 3 приемами пищи в день, возможно, в течение короткого периода времени.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>Наш процент отказа от исследования составил 28,6%. Типичные показатели отклонений от исследований по кормлению человека в наших учреждениях составляют ≈4–7% </w:t>
      </w:r>
      <w:hyperlink r:id="rId33" w:anchor="R20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(</w:t>
        </w:r>
      </w:hyperlink>
      <w:r>
        <w:rPr>
          <w:rFonts w:ascii="Cambria" w:hAnsi="Cambria"/>
          <w:color w:val="212121"/>
          <w:sz w:val="30"/>
          <w:szCs w:val="30"/>
        </w:rPr>
        <w:t> 18–20 </w:t>
      </w:r>
      <w:hyperlink r:id="rId34" w:anchor="R18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)</w:t>
        </w:r>
      </w:hyperlink>
      <w:r>
        <w:rPr>
          <w:rFonts w:ascii="Cambria" w:hAnsi="Cambria"/>
          <w:color w:val="212121"/>
          <w:sz w:val="30"/>
          <w:szCs w:val="30"/>
        </w:rPr>
        <w:t> . Мы предполагаем, что абстиненция у испытуемых увеличилась, потому что испытуемые просили потреблять всю пищу в течение дня за один прием; Однако только один участник указал конкретную причину отказа. Большинство субъектов могут потреблять все калории во время диеты 1 раз в день. Сообщалось, что отказ от участия в обучении был вызван конфликтами в списке участников и проблемами со стороны банка, а не перерывами в исследовании.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Лишь несколько проверенных экспериментальных исследований повлияли на показатели сытости при многократном приеме пищи. Результаты ВАШ позволяют предположить, что субъекты не соблюдают диету 1 раз в день. Пока голоден, желание и предполагаемое увеличение увеличиваются, </w:t>
      </w:r>
      <w:proofErr w:type="gramStart"/>
      <w:r>
        <w:rPr>
          <w:rFonts w:ascii="Cambria" w:hAnsi="Cambria"/>
          <w:color w:val="212121"/>
          <w:sz w:val="30"/>
          <w:szCs w:val="30"/>
        </w:rPr>
        <w:t>тогда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как чувство сытости уменьшается. Аналогично, у субъектов, которые соблюдали голодную диету с чередованием дневного голодания в течение 3 недель, наблюдались последствия переменного чувства голода и желания есть в дни голодания по сравнению с исходным уровнем, но они не смогли достичь голодной диеты с чередованием дневного голодания, и они в Посты первого дня были такими же голодными, как и в последний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"R21"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21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Хотя субъективные оценки голода и сытости не рекомендуются после ужина, в комментариях во время употребления диеты «1 прием пищи в день» </w:t>
      </w:r>
      <w:proofErr w:type="gramStart"/>
      <w:r>
        <w:rPr>
          <w:rFonts w:ascii="Cambria" w:hAnsi="Cambria"/>
          <w:color w:val="212121"/>
          <w:sz w:val="30"/>
          <w:szCs w:val="30"/>
        </w:rPr>
        <w:t>большинство испытуемых сообщали о чрезвычайной сытости после еды и с трудом доедали пищу в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отведенное время. Необходимы дальнейшие исследования, чтобы лучше понять субъективное ощущение сытости в зависимости от частоты приема пищи.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Хотя и в пределах нормальных показателей, как систолическое, так и </w:t>
      </w:r>
      <w:proofErr w:type="spellStart"/>
      <w:r>
        <w:rPr>
          <w:rFonts w:ascii="Cambria" w:hAnsi="Cambria"/>
          <w:color w:val="212121"/>
          <w:sz w:val="30"/>
          <w:szCs w:val="30"/>
        </w:rPr>
        <w:t>диастолическое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артериальное давление было выше исходного уровня во время диеты с 1 приемом пищи в день. Ранее не сообщалось об экспериментальных данных для мужчин и женщин с нормальным весом при употреблении 1 приема пищи в день, а не 3 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раза в день, при артериальном давлении. Мужчины и женщины с избыточным содержанием веществ, которые употребляют 1 раз в день с ограничением калорий, повышают кровяное давление и сокращают сердечные сокращения после тренировки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"R22"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22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На моделях животных было показано, что периодическое голодание без ограничения калорий снижает артериальное давление и приводит к сокращению сердечных сокращений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"R15"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15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Наблюдаемое повышение артериального давления в нашей группе пациентов, потребляющих 1 прием пищи в день, может быть связано с циркадным ритмом артериального давления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"R23"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23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Могут иметь место ежедневные изменения, поскольку измерение артериального давления ближе к вечеру при диете с 1 приемом пищи в день по сравнению с ранним утром при диете с 3 приемами пищи в день.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Интересно, что масса тела и жировые отложения уменьшаются при диете с 1 приема пищи в день, что частично можно объяснить незначительным дефицитом дневного потребления энергии в 65 ккал. Это изменение в составе тела также может влиять на режим питания и метаболическую активность. У крыс, которые придерживались обильной диеты, а затем диеты, состоящей из одного большого приема пищи, наблюдалось увеличение чистого потока следующих жирных кислот из жировых отложений и значительного </w:t>
      </w:r>
      <w:proofErr w:type="spellStart"/>
      <w:r>
        <w:rPr>
          <w:rFonts w:ascii="Cambria" w:hAnsi="Cambria"/>
          <w:color w:val="212121"/>
          <w:sz w:val="30"/>
          <w:szCs w:val="30"/>
        </w:rPr>
        <w:t>глюконеогенеза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"R24"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24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35" w:anchor="R25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25</w:t>
        </w:r>
      </w:hyperlink>
      <w:r>
        <w:rPr>
          <w:rFonts w:ascii="Cambria" w:hAnsi="Cambria"/>
          <w:color w:val="212121"/>
          <w:sz w:val="30"/>
          <w:szCs w:val="30"/>
        </w:rPr>
        <w:t> ). Внесенные изменения в метаболизме были применены и в наших испытуемых, что позволило нанести ущерб весу и твердой массе. </w:t>
      </w:r>
      <w:proofErr w:type="spellStart"/>
      <w:r>
        <w:rPr>
          <w:rFonts w:ascii="Cambria" w:hAnsi="Cambria"/>
          <w:color w:val="212121"/>
          <w:sz w:val="30"/>
          <w:szCs w:val="30"/>
        </w:rPr>
        <w:t>Глюконеогенез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обычно начинается через 4–6 часов после последнего приема пищи и становится полностью активным по мере истощения запасов гликогена в печени. Свободные жирные кислоты и аминокислоты, являющиеся субстратами </w:t>
      </w:r>
      <w:proofErr w:type="spellStart"/>
      <w:r>
        <w:rPr>
          <w:rFonts w:ascii="Cambria" w:hAnsi="Cambria"/>
          <w:color w:val="212121"/>
          <w:sz w:val="30"/>
          <w:szCs w:val="30"/>
        </w:rPr>
        <w:t>глюконеогенеза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, используются для обеспечения жизнедеятельности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"R26"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26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36" w:anchor="R27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27</w:t>
        </w:r>
      </w:hyperlink>
      <w:r>
        <w:rPr>
          <w:rFonts w:ascii="Cambria" w:hAnsi="Cambria"/>
          <w:color w:val="212121"/>
          <w:sz w:val="30"/>
          <w:szCs w:val="30"/>
        </w:rPr>
        <w:t> ).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Изменение систем циркулирующих липидов признано опасным для здоровья </w:t>
      </w:r>
      <w:proofErr w:type="spellStart"/>
      <w:r>
        <w:rPr>
          <w:rFonts w:ascii="Cambria" w:hAnsi="Cambria"/>
          <w:color w:val="212121"/>
          <w:sz w:val="30"/>
          <w:szCs w:val="30"/>
        </w:rPr>
        <w:t>сердечно-сосудистых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заболеваний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"R28"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28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В ходе заболевания мы выявили как </w:t>
      </w:r>
      <w:proofErr w:type="spellStart"/>
      <w:r>
        <w:rPr>
          <w:rFonts w:ascii="Cambria" w:hAnsi="Cambria"/>
          <w:color w:val="212121"/>
          <w:sz w:val="30"/>
          <w:szCs w:val="30"/>
        </w:rPr>
        <w:t>проатерогенные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(увеличение общего холестерина и холестерина ЛПНП), так и </w:t>
      </w:r>
      <w:proofErr w:type="spellStart"/>
      <w:r>
        <w:rPr>
          <w:rFonts w:ascii="Cambria" w:hAnsi="Cambria"/>
          <w:color w:val="212121"/>
          <w:sz w:val="30"/>
          <w:szCs w:val="30"/>
        </w:rPr>
        <w:t>антиатерогенные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(повышение уровня холестерина ЛПВП и снижение уровня </w:t>
      </w:r>
      <w:proofErr w:type="spellStart"/>
      <w:r>
        <w:rPr>
          <w:rFonts w:ascii="Cambria" w:hAnsi="Cambria"/>
          <w:color w:val="212121"/>
          <w:sz w:val="30"/>
          <w:szCs w:val="30"/>
        </w:rPr>
        <w:t>триацилглицеринов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) изменения после соблюдения диеты 1 раз в день. Эти изменения происходят независимо от рекомендуемой диеты, поскольку уровень холестерина в пище и соотношение жирных кислот постоянно продолжаются. Исследования, которые 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пытались определить получение импульсного сигнала пищи на </w:t>
      </w:r>
      <w:proofErr w:type="spellStart"/>
      <w:r>
        <w:rPr>
          <w:rFonts w:ascii="Cambria" w:hAnsi="Cambria"/>
          <w:color w:val="212121"/>
          <w:sz w:val="30"/>
          <w:szCs w:val="30"/>
        </w:rPr>
        <w:t>биомаркеры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здоровья, такие как концентрация липидов, противоречивы. В одном экспериментальном лечении здоровых мужчин кормили либо 3 раза в день, либо 17 небольшими перекусами в день в течение 2 недель; У субъектов, соблюдающих диету из 17 перекусов, наблюдалось снижение общей концентрации холестерина и ЛПНП, тогда как медицинские работники не менялись у субъектов, потребляющих 3 приема пищи в день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"R29"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29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Два исследования также показали, что отказ от завтрака оказывает вредное воздействие на состояние здоровья, связанное с </w:t>
      </w:r>
      <w:proofErr w:type="spellStart"/>
      <w:r>
        <w:rPr>
          <w:rFonts w:ascii="Cambria" w:hAnsi="Cambria"/>
          <w:color w:val="212121"/>
          <w:sz w:val="30"/>
          <w:szCs w:val="30"/>
        </w:rPr>
        <w:t>сердечно-сосудистыми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заболеваниями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"R30"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30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37" w:anchor="R31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31</w:t>
        </w:r>
      </w:hyperlink>
      <w:r>
        <w:rPr>
          <w:rFonts w:ascii="Cambria" w:hAnsi="Cambria"/>
          <w:color w:val="212121"/>
          <w:sz w:val="30"/>
          <w:szCs w:val="30"/>
        </w:rPr>
        <w:t xml:space="preserve"> ), другое исследование показало, что отсутствие завтрака может снизить факторы риска </w:t>
      </w:r>
      <w:proofErr w:type="spellStart"/>
      <w:r>
        <w:rPr>
          <w:rFonts w:ascii="Cambria" w:hAnsi="Cambria"/>
          <w:color w:val="212121"/>
          <w:sz w:val="30"/>
          <w:szCs w:val="30"/>
        </w:rPr>
        <w:t>сердечно-сосудистых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заболеваний ( </w:t>
      </w:r>
      <w:hyperlink r:id="rId38" w:anchor="R32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32</w:t>
        </w:r>
      </w:hyperlink>
      <w:r>
        <w:rPr>
          <w:rFonts w:ascii="Cambria" w:hAnsi="Cambria"/>
          <w:color w:val="212121"/>
          <w:sz w:val="30"/>
          <w:szCs w:val="30"/>
        </w:rPr>
        <w:t> ).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Потребление 1 приема пищи в день повышало уровень альбумина и ферментов печени и снижало азот мочевины в крови у участников нашего исследования, хотя эти значения остаются в пределах нормальных </w:t>
      </w:r>
      <w:proofErr w:type="spellStart"/>
      <w:r>
        <w:rPr>
          <w:rFonts w:ascii="Cambria" w:hAnsi="Cambria"/>
          <w:color w:val="212121"/>
          <w:sz w:val="30"/>
          <w:szCs w:val="30"/>
        </w:rPr>
        <w:t>референтных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диапазонов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"R33"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33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У субъектов, соблюдающих диету 1 раз в день, также наблюдалось снижение уровня кортизола. Хотя все заборы крови у мужчин после 12 часов голодания, время взятия крови наблюдалось в двух диетических группах. Кровь брали рано утром, перед завтраком (т. е. после 12-часового голодания), у субъектов, потребляющих 3 приема пищи в день, и ближе к вечеру, перед ужином (т. е. после 18-часового голодания), у меня</w:t>
      </w:r>
      <w:proofErr w:type="gramStart"/>
      <w:r>
        <w:rPr>
          <w:rFonts w:ascii="Cambria" w:hAnsi="Cambria"/>
          <w:color w:val="212121"/>
          <w:sz w:val="30"/>
          <w:szCs w:val="30"/>
        </w:rPr>
        <w:t xml:space="preserve"> ,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кто потребляет л еды в день. У субъектов, принимавших пищу 1 раз в день, наблюдалось снижение содержания кортизола, что, скорее всего, было связано с суточными колебаниями уровня этого гормона. Уровень кортизола обычно прогнозируется утром и снижается во второй половине дня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"R34"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34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, </w:t>
      </w:r>
      <w:hyperlink r:id="rId39" w:anchor="R35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35</w:t>
        </w:r>
      </w:hyperlink>
      <w:r>
        <w:rPr>
          <w:rFonts w:ascii="Cambria" w:hAnsi="Cambria"/>
          <w:color w:val="212121"/>
          <w:sz w:val="30"/>
          <w:szCs w:val="30"/>
        </w:rPr>
        <w:t> ).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Во время Рамадана, священного месяца, в течение которого мусульмане постятся от рассвета до заката, у практикующих мусульман наблюдаются дневные колебания </w:t>
      </w:r>
      <w:proofErr w:type="spellStart"/>
      <w:r>
        <w:rPr>
          <w:rFonts w:ascii="Cambria" w:hAnsi="Cambria"/>
          <w:color w:val="212121"/>
          <w:sz w:val="30"/>
          <w:szCs w:val="30"/>
        </w:rPr>
        <w:t>биомаркеров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питания. Предыдущие исследования показали, что, в отличие от периодов голодания, концентрация кортизола во время поста в Рамадан является двухфазной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"R36"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36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Эти пациенты сообщили о повышении уровня кортизола в сыворотке, начиная с 12:00, плато достигает между 16:00 и 20:00. Во время поста в Рамадан суточные колебания уровня кортизола существенно отличаются от нормальных дневных колебаний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"R36"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36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Мы обнаружили, что 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уровень гемоглобина, гематокрита и эритроцитов у людей был ниже после того, как они употребляли диету 1 раз в день, тогда как средний объем клеток считался нормальной концентрацией. Последние результаты могут быть результатом увеличения объема крови или изменения выработки эритроцитов. Предыдущие исследования в Рамадан показали снижение выработки эритроцитов с тенденцией к увеличению анемии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"R37"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37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Последние результаты, вероятно, были значительными из-за снижения потребления калорий и железосодержащих продуктов в месяц после Рамадана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"R37"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37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Никаких серьезных, значимых изменений, связанных с диетой, не было указано в комплексной метаболической панели или ОАК, что указано на то, что диета с 1 приемом пищи в день хорошо перенеслась в эту группу здоровых мужчин и женщин.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Некоторые ограничения дизайна настоящего исследования требуют рассмотрения. Хотя это было </w:t>
      </w:r>
      <w:proofErr w:type="spellStart"/>
      <w:r>
        <w:rPr>
          <w:rFonts w:ascii="Cambria" w:hAnsi="Cambria"/>
          <w:color w:val="212121"/>
          <w:sz w:val="30"/>
          <w:szCs w:val="30"/>
        </w:rPr>
        <w:t>пилотное</w:t>
      </w:r>
      <w:proofErr w:type="spellEnd"/>
      <w:r>
        <w:rPr>
          <w:rFonts w:ascii="Cambria" w:hAnsi="Cambria"/>
          <w:color w:val="212121"/>
          <w:sz w:val="30"/>
          <w:szCs w:val="30"/>
        </w:rPr>
        <w:t xml:space="preserve"> исследование, выбор небольшого размера был особенно ограничивающим фактором. Измерения крови, кровяного давления, температуры тела и состава тела занимают раннее место у субъектов, потребляющих 3 приема пищи в день, и ближе к вечеру у тех, кто потребляет 1 прием пищи в день; Результаты можно было бы изменить, если бы последние измерения также были получены ранним утром. BIA также может быть не лучшим методом оценки состава тела из-за его склонности к переоценке жировой массы у худых людей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"R38"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38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). Субъекты настоящих исследований также были довольно однородными; Будущие исследования должны включать группы населения с избыточным весом и ожирением, чтобы определить влияние приема сигнала на еду в этих группах.</w:t>
      </w:r>
    </w:p>
    <w:p w:rsidR="00263A35" w:rsidRDefault="00263A35" w:rsidP="00263A35">
      <w:pPr>
        <w:pStyle w:val="a7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Предыдущие исследования зафиксировали улучшение здоровья и продолжительности жизни крыс и мышей, находящихся на периодическом голодании, при которых их лишали едой в течение 24 часов через день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"R5"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5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> – </w:t>
      </w:r>
      <w:hyperlink r:id="rId40" w:anchor="R9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9</w:t>
        </w:r>
      </w:hyperlink>
      <w:r>
        <w:rPr>
          <w:rFonts w:ascii="Cambria" w:hAnsi="Cambria"/>
          <w:color w:val="212121"/>
          <w:sz w:val="30"/>
          <w:szCs w:val="30"/>
        </w:rPr>
        <w:t> , </w:t>
      </w:r>
      <w:hyperlink r:id="rId41" w:anchor="R15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15</w:t>
        </w:r>
      </w:hyperlink>
      <w:r>
        <w:rPr>
          <w:rFonts w:ascii="Cambria" w:hAnsi="Cambria"/>
          <w:color w:val="212121"/>
          <w:sz w:val="30"/>
          <w:szCs w:val="30"/>
        </w:rPr>
        <w:t> , </w:t>
      </w:r>
      <w:hyperlink r:id="rId42" w:anchor="R16" w:history="1">
        <w:r>
          <w:rPr>
            <w:rStyle w:val="a3"/>
            <w:rFonts w:ascii="Cambria" w:hAnsi="Cambria"/>
            <w:color w:val="376FAA"/>
            <w:sz w:val="30"/>
            <w:szCs w:val="30"/>
          </w:rPr>
          <w:t>16</w:t>
        </w:r>
      </w:hyperlink>
      <w:r>
        <w:rPr>
          <w:rFonts w:ascii="Cambria" w:hAnsi="Cambria"/>
          <w:color w:val="212121"/>
          <w:sz w:val="30"/>
          <w:szCs w:val="30"/>
        </w:rPr>
        <w:t xml:space="preserve"> ); В этих исследованиях экспериментальные диеты привели к общему снижению потребления калорий до 30%. Однако в некоторых исследованиях ограничения по потреблению калорий были небольшими (5–10%), а последующие изменения были сделаны выводами, которые позволяют предположить, что длительный период голодания сам по себе продолжается продолжительными диетами </w:t>
      </w:r>
      <w:proofErr w:type="gramStart"/>
      <w:r>
        <w:rPr>
          <w:rFonts w:ascii="Cambria" w:hAnsi="Cambria"/>
          <w:color w:val="212121"/>
          <w:sz w:val="30"/>
          <w:szCs w:val="30"/>
        </w:rPr>
        <w:t>( </w:t>
      </w:r>
      <w:proofErr w:type="gramEnd"/>
      <w:r>
        <w:rPr>
          <w:rFonts w:ascii="Cambria" w:hAnsi="Cambria"/>
          <w:color w:val="212121"/>
          <w:sz w:val="30"/>
          <w:szCs w:val="30"/>
        </w:rPr>
        <w:fldChar w:fldCharType="begin"/>
      </w:r>
      <w:r>
        <w:rPr>
          <w:rFonts w:ascii="Cambria" w:hAnsi="Cambria"/>
          <w:color w:val="212121"/>
          <w:sz w:val="30"/>
          <w:szCs w:val="30"/>
        </w:rPr>
        <w:instrText xml:space="preserve"> HYPERLINK "https://www-ncbi-nlm-nih-gov.translate.goog/pmc/articles/PMC2645638/?_x_tr_sl=auto&amp;_x_tr_tl=ru&amp;_x_tr_hl=ru" \l "R8" </w:instrText>
      </w:r>
      <w:r>
        <w:rPr>
          <w:rFonts w:ascii="Cambria" w:hAnsi="Cambria"/>
          <w:color w:val="212121"/>
          <w:sz w:val="30"/>
          <w:szCs w:val="30"/>
        </w:rPr>
        <w:fldChar w:fldCharType="separate"/>
      </w:r>
      <w:r>
        <w:rPr>
          <w:rStyle w:val="a3"/>
          <w:rFonts w:ascii="Cambria" w:hAnsi="Cambria"/>
          <w:color w:val="376FAA"/>
          <w:sz w:val="30"/>
          <w:szCs w:val="30"/>
        </w:rPr>
        <w:t>8</w:t>
      </w:r>
      <w:r>
        <w:rPr>
          <w:rFonts w:ascii="Cambria" w:hAnsi="Cambria"/>
          <w:color w:val="212121"/>
          <w:sz w:val="30"/>
          <w:szCs w:val="30"/>
        </w:rPr>
        <w:fldChar w:fldCharType="end"/>
      </w:r>
      <w:r>
        <w:rPr>
          <w:rFonts w:ascii="Cambria" w:hAnsi="Cambria"/>
          <w:color w:val="212121"/>
          <w:sz w:val="30"/>
          <w:szCs w:val="30"/>
        </w:rPr>
        <w:t xml:space="preserve"> ). Полученные результаты показывают, что без снижения </w:t>
      </w:r>
      <w:r>
        <w:rPr>
          <w:rFonts w:ascii="Cambria" w:hAnsi="Cambria"/>
          <w:color w:val="212121"/>
          <w:sz w:val="30"/>
          <w:szCs w:val="30"/>
        </w:rPr>
        <w:lastRenderedPageBreak/>
        <w:t xml:space="preserve">потребления калорий диета с уменьшенной скоростью приема пищи не приносит серьезной пользы для здоровья человека. Улучшение регуляции уровня глюкозы и здоровья </w:t>
      </w:r>
      <w:proofErr w:type="spellStart"/>
      <w:proofErr w:type="gramStart"/>
      <w:r>
        <w:rPr>
          <w:rFonts w:ascii="Cambria" w:hAnsi="Cambria"/>
          <w:color w:val="212121"/>
          <w:sz w:val="30"/>
          <w:szCs w:val="30"/>
        </w:rPr>
        <w:t>сердечно-сосудистой</w:t>
      </w:r>
      <w:proofErr w:type="spellEnd"/>
      <w:proofErr w:type="gramEnd"/>
      <w:r>
        <w:rPr>
          <w:rFonts w:ascii="Cambria" w:hAnsi="Cambria"/>
          <w:color w:val="212121"/>
          <w:sz w:val="30"/>
          <w:szCs w:val="30"/>
        </w:rPr>
        <w:t xml:space="preserve"> системы у грызунов происходит в течение нескольких месяцев периодического голодания; Таким образом, время, в течение которого субъекты соблюдают диету 1 раз в день в настоящем образовании, может быть установлено для достижения стабильных изменений в физиологии. Долгосрочная диета с пониженной скоростью приема пищи, которая также включает снижение потребления калорий на 20–30%, будет в большей степени напоминать режим прерывистого голодания, который широко используется в исследованиях на грызунах.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Cambria" w:hAnsi="Cambria"/>
          <w:color w:val="212121"/>
          <w:sz w:val="30"/>
          <w:szCs w:val="30"/>
        </w:rPr>
      </w:pPr>
      <w:r>
        <w:rPr>
          <w:rFonts w:ascii="Cambria" w:hAnsi="Cambria"/>
          <w:color w:val="212121"/>
          <w:sz w:val="30"/>
          <w:szCs w:val="30"/>
        </w:rPr>
        <w:t xml:space="preserve">В заключение можно сказать, что изменение частоты приема </w:t>
      </w:r>
      <w:proofErr w:type="gramStart"/>
      <w:r>
        <w:rPr>
          <w:rFonts w:ascii="Cambria" w:hAnsi="Cambria"/>
          <w:color w:val="212121"/>
          <w:sz w:val="30"/>
          <w:szCs w:val="30"/>
        </w:rPr>
        <w:t>пищи</w:t>
      </w:r>
      <w:proofErr w:type="gramEnd"/>
      <w:r>
        <w:rPr>
          <w:rFonts w:ascii="Cambria" w:hAnsi="Cambria"/>
          <w:color w:val="212121"/>
          <w:sz w:val="30"/>
          <w:szCs w:val="30"/>
        </w:rPr>
        <w:t xml:space="preserve"> возможно у здоровых мужчин и женщин среднего возраста с нормальным весом. Потребление 1 раз в день привело к потере веса и уменьшению жировой массы с небольшими изменениями в потреблении калорий. Остается неясным, что приведет к изменению частоты приема пищи с изменением веса и состава у людей с ожирением.</w:t>
      </w:r>
    </w:p>
    <w:p w:rsidR="00263A35" w:rsidRDefault="00263A35" w:rsidP="00263A35">
      <w:pPr>
        <w:pStyle w:val="p"/>
        <w:shd w:val="clear" w:color="auto" w:fill="FFFFFF"/>
        <w:spacing w:before="400" w:beforeAutospacing="0" w:after="400" w:afterAutospacing="0"/>
        <w:rPr>
          <w:rFonts w:ascii="Helvetica" w:hAnsi="Helvetica" w:cs="Helvetica"/>
          <w:color w:val="212121"/>
        </w:rPr>
      </w:pPr>
      <w:r>
        <w:rPr>
          <w:rFonts w:ascii="Helvetica" w:hAnsi="Helvetica" w:cs="Helvetica"/>
          <w:color w:val="212121"/>
        </w:rPr>
        <w:t>.</w:t>
      </w:r>
      <w:r w:rsidR="00116916" w:rsidRPr="00116916">
        <w:t xml:space="preserve"> </w:t>
      </w:r>
      <w:hyperlink r:id="rId43" w:history="1">
        <w:r w:rsidR="00116916" w:rsidRPr="003A392D">
          <w:rPr>
            <w:rStyle w:val="a3"/>
            <w:rFonts w:ascii="Helvetica" w:hAnsi="Helvetica" w:cs="Helvetica"/>
          </w:rPr>
          <w:t>https://www-ncbi-nlm-nih-gov.translate.goog/pmc/articles/PMC2645638/?_x_tr_sl=auto&amp;_x_tr_tl=ru&amp;_x_tr_hl=ru</w:t>
        </w:r>
      </w:hyperlink>
    </w:p>
    <w:p w:rsidR="00116916" w:rsidRDefault="00116916" w:rsidP="00263A35">
      <w:pPr>
        <w:pStyle w:val="p"/>
        <w:shd w:val="clear" w:color="auto" w:fill="FFFFFF"/>
        <w:spacing w:before="400" w:beforeAutospacing="0" w:after="400" w:afterAutospacing="0"/>
        <w:rPr>
          <w:rFonts w:ascii="Helvetica" w:hAnsi="Helvetica" w:cs="Helvetica"/>
          <w:color w:val="212121"/>
        </w:rPr>
      </w:pPr>
    </w:p>
    <w:p w:rsidR="00B34DF5" w:rsidRDefault="00B34DF5"/>
    <w:sectPr w:rsidR="00B34DF5" w:rsidSect="00B34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3A35"/>
    <w:rsid w:val="00116916"/>
    <w:rsid w:val="00263A35"/>
    <w:rsid w:val="00B34D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DF5"/>
  </w:style>
  <w:style w:type="paragraph" w:styleId="1">
    <w:name w:val="heading 1"/>
    <w:basedOn w:val="a"/>
    <w:link w:val="10"/>
    <w:uiPriority w:val="9"/>
    <w:qFormat/>
    <w:rsid w:val="00263A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63A3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263A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3A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63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263A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Hyperlink"/>
    <w:basedOn w:val="a0"/>
    <w:uiPriority w:val="99"/>
    <w:unhideWhenUsed/>
    <w:rsid w:val="00263A3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63A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63A35"/>
    <w:rPr>
      <w:rFonts w:ascii="Tahoma" w:hAnsi="Tahoma" w:cs="Tahoma"/>
      <w:sz w:val="16"/>
      <w:szCs w:val="16"/>
    </w:rPr>
  </w:style>
  <w:style w:type="paragraph" w:customStyle="1" w:styleId="p">
    <w:name w:val="p"/>
    <w:basedOn w:val="a"/>
    <w:rsid w:val="0026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263A35"/>
    <w:rPr>
      <w:b/>
      <w:bCs/>
    </w:rPr>
  </w:style>
  <w:style w:type="character" w:customStyle="1" w:styleId="kwd-text">
    <w:name w:val="kwd-text"/>
    <w:basedOn w:val="a0"/>
    <w:rsid w:val="00263A35"/>
  </w:style>
  <w:style w:type="paragraph" w:styleId="a7">
    <w:name w:val="Normal (Web)"/>
    <w:basedOn w:val="a"/>
    <w:uiPriority w:val="99"/>
    <w:semiHidden/>
    <w:unhideWhenUsed/>
    <w:rsid w:val="0026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Emphasis"/>
    <w:basedOn w:val="a0"/>
    <w:uiPriority w:val="20"/>
    <w:qFormat/>
    <w:rsid w:val="00263A35"/>
    <w:rPr>
      <w:i/>
      <w:iCs/>
    </w:rPr>
  </w:style>
  <w:style w:type="paragraph" w:customStyle="1" w:styleId="fn">
    <w:name w:val="fn"/>
    <w:basedOn w:val="a"/>
    <w:rsid w:val="00263A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50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318111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43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414467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7479303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8346884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087921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706427">
                  <w:marLeft w:val="0"/>
                  <w:marRight w:val="0"/>
                  <w:marTop w:val="400"/>
                  <w:marBottom w:val="4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9689024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115805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1766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20096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10545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184670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5068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2122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739402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581180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850065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240914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467851">
                  <w:marLeft w:val="0"/>
                  <w:marRight w:val="0"/>
                  <w:marTop w:val="400"/>
                  <w:marBottom w:val="400"/>
                  <w:divBdr>
                    <w:top w:val="single" w:sz="6" w:space="20" w:color="EAC3AF"/>
                    <w:left w:val="single" w:sz="6" w:space="20" w:color="EAC3AF"/>
                    <w:bottom w:val="single" w:sz="6" w:space="20" w:color="EAC3AF"/>
                    <w:right w:val="single" w:sz="6" w:space="20" w:color="EAC3AF"/>
                  </w:divBdr>
                  <w:divsChild>
                    <w:div w:id="1721247884">
                      <w:marLeft w:val="0"/>
                      <w:marRight w:val="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00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228235">
                      <w:marLeft w:val="200"/>
                      <w:marRight w:val="2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8447285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9441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6623823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627352">
                  <w:marLeft w:val="0"/>
                  <w:marRight w:val="0"/>
                  <w:marTop w:val="400"/>
                  <w:marBottom w:val="400"/>
                  <w:divBdr>
                    <w:top w:val="single" w:sz="6" w:space="20" w:color="EAC3AF"/>
                    <w:left w:val="single" w:sz="6" w:space="20" w:color="EAC3AF"/>
                    <w:bottom w:val="single" w:sz="6" w:space="20" w:color="EAC3AF"/>
                    <w:right w:val="single" w:sz="6" w:space="20" w:color="EAC3AF"/>
                  </w:divBdr>
                  <w:divsChild>
                    <w:div w:id="1527525655">
                      <w:marLeft w:val="0"/>
                      <w:marRight w:val="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89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447584">
                      <w:marLeft w:val="200"/>
                      <w:marRight w:val="2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1376834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606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26185824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826115">
                  <w:marLeft w:val="0"/>
                  <w:marRight w:val="0"/>
                  <w:marTop w:val="400"/>
                  <w:marBottom w:val="400"/>
                  <w:divBdr>
                    <w:top w:val="single" w:sz="6" w:space="20" w:color="EAC3AF"/>
                    <w:left w:val="single" w:sz="6" w:space="20" w:color="EAC3AF"/>
                    <w:bottom w:val="single" w:sz="6" w:space="20" w:color="EAC3AF"/>
                    <w:right w:val="single" w:sz="6" w:space="20" w:color="EAC3AF"/>
                  </w:divBdr>
                  <w:divsChild>
                    <w:div w:id="491606299">
                      <w:marLeft w:val="0"/>
                      <w:marRight w:val="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84013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6046477">
                      <w:marLeft w:val="200"/>
                      <w:marRight w:val="2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310863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8563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7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4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8990343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45701">
                  <w:marLeft w:val="0"/>
                  <w:marRight w:val="0"/>
                  <w:marTop w:val="400"/>
                  <w:marBottom w:val="400"/>
                  <w:divBdr>
                    <w:top w:val="single" w:sz="6" w:space="20" w:color="EAC3AF"/>
                    <w:left w:val="single" w:sz="6" w:space="20" w:color="EAC3AF"/>
                    <w:bottom w:val="single" w:sz="6" w:space="20" w:color="EAC3AF"/>
                    <w:right w:val="single" w:sz="6" w:space="20" w:color="EAC3AF"/>
                  </w:divBdr>
                  <w:divsChild>
                    <w:div w:id="2052607729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426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7579778">
                          <w:marLeft w:val="0"/>
                          <w:marRight w:val="0"/>
                          <w:marTop w:val="20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96256666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968799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111937">
              <w:marLeft w:val="0"/>
              <w:marRight w:val="0"/>
              <w:marTop w:val="400"/>
              <w:marBottom w:val="4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846621">
                  <w:marLeft w:val="0"/>
                  <w:marRight w:val="0"/>
                  <w:marTop w:val="400"/>
                  <w:marBottom w:val="400"/>
                  <w:divBdr>
                    <w:top w:val="single" w:sz="6" w:space="20" w:color="EAC3AF"/>
                    <w:left w:val="single" w:sz="6" w:space="20" w:color="EAC3AF"/>
                    <w:bottom w:val="single" w:sz="6" w:space="20" w:color="EAC3AF"/>
                    <w:right w:val="single" w:sz="6" w:space="20" w:color="EAC3AF"/>
                  </w:divBdr>
                  <w:divsChild>
                    <w:div w:id="1622565203">
                      <w:marLeft w:val="0"/>
                      <w:marRight w:val="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735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49755">
                      <w:marLeft w:val="200"/>
                      <w:marRight w:val="200"/>
                      <w:marTop w:val="200"/>
                      <w:marBottom w:val="2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134676">
                      <w:marLeft w:val="0"/>
                      <w:marRight w:val="0"/>
                      <w:marTop w:val="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6693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2600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408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5250295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2088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609645">
              <w:marLeft w:val="0"/>
              <w:marRight w:val="0"/>
              <w:marTop w:val="200"/>
              <w:marBottom w:val="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48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-ncbi-nlm-nih-gov.translate.goog/pmc/articles/PMC2645638/?_x_tr_sl=auto&amp;_x_tr_tl=ru&amp;_x_tr_hl=ru" TargetMode="External"/><Relationship Id="rId13" Type="http://schemas.openxmlformats.org/officeDocument/2006/relationships/hyperlink" Target="https://www-ncbi-nlm-nih-gov.translate.goog/pmc/articles/PMC2645638/?_x_tr_sl=auto&amp;_x_tr_tl=ru&amp;_x_tr_hl=ru" TargetMode="External"/><Relationship Id="rId18" Type="http://schemas.openxmlformats.org/officeDocument/2006/relationships/hyperlink" Target="https://translate.google.com/website?sl=auto&amp;tl=ru&amp;hl=ru&amp;u=http://www.cms.hhs.gov/clia" TargetMode="External"/><Relationship Id="rId26" Type="http://schemas.openxmlformats.org/officeDocument/2006/relationships/hyperlink" Target="https://www-ncbi-nlm-nih-gov.translate.goog/core/lw/2.0/html/tileshop_pmc/tileshop_pmc_inline.html?title=Click+on+image+to+zoom&amp;p=PMC3&amp;id=2645638_nihms45606f1.jpg&amp;_x_tr_sl=auto&amp;_x_tr_tl=ru&amp;_x_tr_hl=ru" TargetMode="External"/><Relationship Id="rId39" Type="http://schemas.openxmlformats.org/officeDocument/2006/relationships/hyperlink" Target="https://www-ncbi-nlm-nih-gov.translate.goog/pmc/articles/PMC2645638/?_x_tr_sl=auto&amp;_x_tr_tl=ru&amp;_x_tr_hl=ru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-ncbi-nlm-nih-gov.translate.goog/pmc/articles/PMC2645638/table/T2/?_x_tr_sl=auto&amp;_x_tr_tl=ru&amp;_x_tr_hl=ru" TargetMode="External"/><Relationship Id="rId34" Type="http://schemas.openxmlformats.org/officeDocument/2006/relationships/hyperlink" Target="https://www-ncbi-nlm-nih-gov.translate.goog/pmc/articles/PMC2645638/?_x_tr_sl=auto&amp;_x_tr_tl=ru&amp;_x_tr_hl=ru" TargetMode="External"/><Relationship Id="rId42" Type="http://schemas.openxmlformats.org/officeDocument/2006/relationships/hyperlink" Target="https://www-ncbi-nlm-nih-gov.translate.goog/pmc/articles/PMC2645638/?_x_tr_sl=auto&amp;_x_tr_tl=ru&amp;_x_tr_hl=ru" TargetMode="External"/><Relationship Id="rId7" Type="http://schemas.openxmlformats.org/officeDocument/2006/relationships/hyperlink" Target="https://www-ncbi-nlm-nih-gov.translate.goog/pmc/articles/PMC2645638/?_x_tr_sl=auto&amp;_x_tr_tl=ru&amp;_x_tr_hl=ru" TargetMode="External"/><Relationship Id="rId12" Type="http://schemas.openxmlformats.org/officeDocument/2006/relationships/hyperlink" Target="https://www-ncbi-nlm-nih-gov.translate.goog/pmc/articles/PMC2645638/?_x_tr_sl=auto&amp;_x_tr_tl=ru&amp;_x_tr_hl=ru" TargetMode="External"/><Relationship Id="rId17" Type="http://schemas.openxmlformats.org/officeDocument/2006/relationships/hyperlink" Target="https://www.ncbi.nlm.nih.gov/pmc/articles/PMC2645638/" TargetMode="External"/><Relationship Id="rId25" Type="http://schemas.openxmlformats.org/officeDocument/2006/relationships/hyperlink" Target="https://www-ncbi-nlm-nih-gov.translate.goog/pmc/articles/PMC2645638/figure/F1/?_x_tr_sl=auto&amp;_x_tr_tl=ru&amp;_x_tr_hl=ru" TargetMode="External"/><Relationship Id="rId33" Type="http://schemas.openxmlformats.org/officeDocument/2006/relationships/hyperlink" Target="https://www-ncbi-nlm-nih-gov.translate.goog/pmc/articles/PMC2645638/?_x_tr_sl=auto&amp;_x_tr_tl=ru&amp;_x_tr_hl=ru" TargetMode="External"/><Relationship Id="rId38" Type="http://schemas.openxmlformats.org/officeDocument/2006/relationships/hyperlink" Target="https://www-ncbi-nlm-nih-gov.translate.goog/pmc/articles/PMC2645638/?_x_tr_sl=auto&amp;_x_tr_tl=ru&amp;_x_tr_hl=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-ncbi-nlm-nih-gov.translate.goog/pmc/articles/PMC2645638/?_x_tr_sl=auto&amp;_x_tr_tl=ru&amp;_x_tr_hl=ru" TargetMode="External"/><Relationship Id="rId20" Type="http://schemas.openxmlformats.org/officeDocument/2006/relationships/hyperlink" Target="https://www-ncbi-nlm-nih-gov.translate.goog/pmc/articles/PMC2645638/table/T1/?report=objectonly&amp;_x_tr_sl=auto&amp;_x_tr_tl=ru&amp;_x_tr_hl=ru" TargetMode="External"/><Relationship Id="rId29" Type="http://schemas.openxmlformats.org/officeDocument/2006/relationships/hyperlink" Target="https://www-ncbi-nlm-nih-gov.translate.goog/pmc/articles/PMC2645638/table/T3/?_x_tr_sl=auto&amp;_x_tr_tl=ru&amp;_x_tr_hl=ru" TargetMode="External"/><Relationship Id="rId41" Type="http://schemas.openxmlformats.org/officeDocument/2006/relationships/hyperlink" Target="https://www-ncbi-nlm-nih-gov.translate.goog/pmc/articles/PMC2645638/?_x_tr_sl=auto&amp;_x_tr_tl=ru&amp;_x_tr_hl=ru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-ncbi-nlm-nih-gov.translate.goog/pmc/articles/PMC2645638/?_x_tr_sl=auto&amp;_x_tr_tl=ru&amp;_x_tr_hl=ru" TargetMode="External"/><Relationship Id="rId11" Type="http://schemas.openxmlformats.org/officeDocument/2006/relationships/hyperlink" Target="https://www-ncbi-nlm-nih-gov.translate.goog/pmc/articles/PMC2645638/?_x_tr_sl=auto&amp;_x_tr_tl=ru&amp;_x_tr_hl=ru" TargetMode="External"/><Relationship Id="rId24" Type="http://schemas.openxmlformats.org/officeDocument/2006/relationships/hyperlink" Target="https://www-ncbi-nlm-nih-gov.translate.goog/pmc/articles/PMC2645638/table/T3/?report=objectonly&amp;_x_tr_sl=auto&amp;_x_tr_tl=ru&amp;_x_tr_hl=ru" TargetMode="External"/><Relationship Id="rId32" Type="http://schemas.openxmlformats.org/officeDocument/2006/relationships/hyperlink" Target="https://www.ncbi.nlm.nih.gov/pmc/articles/PMC2645638/" TargetMode="External"/><Relationship Id="rId37" Type="http://schemas.openxmlformats.org/officeDocument/2006/relationships/hyperlink" Target="https://www-ncbi-nlm-nih-gov.translate.goog/pmc/articles/PMC2645638/?_x_tr_sl=auto&amp;_x_tr_tl=ru&amp;_x_tr_hl=ru" TargetMode="External"/><Relationship Id="rId40" Type="http://schemas.openxmlformats.org/officeDocument/2006/relationships/hyperlink" Target="https://www-ncbi-nlm-nih-gov.translate.goog/pmc/articles/PMC2645638/?_x_tr_sl=auto&amp;_x_tr_tl=ru&amp;_x_tr_hl=ru" TargetMode="External"/><Relationship Id="rId45" Type="http://schemas.openxmlformats.org/officeDocument/2006/relationships/theme" Target="theme/theme1.xml"/><Relationship Id="rId5" Type="http://schemas.openxmlformats.org/officeDocument/2006/relationships/hyperlink" Target="https://www-ncbi-nlm-nih-gov.translate.goog/pmc/articles/PMC2645638/?_x_tr_sl=auto&amp;_x_tr_tl=ru&amp;_x_tr_hl=ru" TargetMode="External"/><Relationship Id="rId15" Type="http://schemas.openxmlformats.org/officeDocument/2006/relationships/hyperlink" Target="https://www-ncbi-nlm-nih-gov.translate.goog/pmc/articles/PMC2645638/?_x_tr_sl=auto&amp;_x_tr_tl=ru&amp;_x_tr_hl=ru" TargetMode="External"/><Relationship Id="rId23" Type="http://schemas.openxmlformats.org/officeDocument/2006/relationships/hyperlink" Target="https://www-ncbi-nlm-nih-gov.translate.goog/pmc/articles/PMC2645638/table/T3/?_x_tr_sl=auto&amp;_x_tr_tl=ru&amp;_x_tr_hl=ru" TargetMode="External"/><Relationship Id="rId28" Type="http://schemas.openxmlformats.org/officeDocument/2006/relationships/hyperlink" Target="https://www-ncbi-nlm-nih-gov.translate.goog/pmc/articles/PMC2645638/figure/F1/?_x_tr_sl=auto&amp;_x_tr_tl=ru&amp;_x_tr_hl=ru" TargetMode="External"/><Relationship Id="rId36" Type="http://schemas.openxmlformats.org/officeDocument/2006/relationships/hyperlink" Target="https://www-ncbi-nlm-nih-gov.translate.goog/pmc/articles/PMC2645638/?_x_tr_sl=auto&amp;_x_tr_tl=ru&amp;_x_tr_hl=ru" TargetMode="External"/><Relationship Id="rId10" Type="http://schemas.openxmlformats.org/officeDocument/2006/relationships/hyperlink" Target="https://www-ncbi-nlm-nih-gov.translate.goog/pmc/articles/PMC2645638/?_x_tr_sl=auto&amp;_x_tr_tl=ru&amp;_x_tr_hl=ru" TargetMode="External"/><Relationship Id="rId19" Type="http://schemas.openxmlformats.org/officeDocument/2006/relationships/hyperlink" Target="https://www.ncbi.nlm.nih.gov/pmc/articles/PMC2645638/" TargetMode="External"/><Relationship Id="rId31" Type="http://schemas.openxmlformats.org/officeDocument/2006/relationships/hyperlink" Target="https://www-ncbi-nlm-nih-gov.translate.goog/pmc/articles/PMC2645638/table/T4/?report=objectonly&amp;_x_tr_sl=auto&amp;_x_tr_tl=ru&amp;_x_tr_hl=ru" TargetMode="External"/><Relationship Id="rId44" Type="http://schemas.openxmlformats.org/officeDocument/2006/relationships/fontTable" Target="fontTable.xml"/><Relationship Id="rId4" Type="http://schemas.openxmlformats.org/officeDocument/2006/relationships/hyperlink" Target="https://www-ncbi-nlm-nih-gov.translate.goog/pmc/articles/PMC2645638/?_x_tr_sl=auto&amp;_x_tr_tl=ru&amp;_x_tr_hl=ru" TargetMode="External"/><Relationship Id="rId9" Type="http://schemas.openxmlformats.org/officeDocument/2006/relationships/hyperlink" Target="https://www-ncbi-nlm-nih-gov.translate.goog/pmc/articles/PMC2645638/?_x_tr_sl=auto&amp;_x_tr_tl=ru&amp;_x_tr_hl=ru" TargetMode="External"/><Relationship Id="rId14" Type="http://schemas.openxmlformats.org/officeDocument/2006/relationships/hyperlink" Target="https://www-ncbi-nlm-nih-gov.translate.goog/pmc/articles/PMC2645638/?_x_tr_sl=auto&amp;_x_tr_tl=ru&amp;_x_tr_hl=ru" TargetMode="External"/><Relationship Id="rId22" Type="http://schemas.openxmlformats.org/officeDocument/2006/relationships/hyperlink" Target="https://www-ncbi-nlm-nih-gov.translate.goog/pmc/articles/PMC2645638/table/T2/?report=objectonly&amp;_x_tr_sl=auto&amp;_x_tr_tl=ru&amp;_x_tr_hl=ru" TargetMode="External"/><Relationship Id="rId27" Type="http://schemas.openxmlformats.org/officeDocument/2006/relationships/image" Target="media/image1.jpeg"/><Relationship Id="rId30" Type="http://schemas.openxmlformats.org/officeDocument/2006/relationships/hyperlink" Target="https://www-ncbi-nlm-nih-gov.translate.goog/pmc/articles/PMC2645638/table/T4/?_x_tr_sl=auto&amp;_x_tr_tl=ru&amp;_x_tr_hl=ru" TargetMode="External"/><Relationship Id="rId35" Type="http://schemas.openxmlformats.org/officeDocument/2006/relationships/hyperlink" Target="https://www-ncbi-nlm-nih-gov.translate.goog/pmc/articles/PMC2645638/?_x_tr_sl=auto&amp;_x_tr_tl=ru&amp;_x_tr_hl=ru" TargetMode="External"/><Relationship Id="rId43" Type="http://schemas.openxmlformats.org/officeDocument/2006/relationships/hyperlink" Target="https://www-ncbi-nlm-nih-gov.translate.goog/pmc/articles/PMC2645638/?_x_tr_sl=auto&amp;_x_tr_tl=ru&amp;_x_tr_hl=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21</Pages>
  <Words>6754</Words>
  <Characters>38503</Characters>
  <Application>Microsoft Office Word</Application>
  <DocSecurity>0</DocSecurity>
  <Lines>320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2024-01-27T22:54:00Z</dcterms:created>
  <dcterms:modified xsi:type="dcterms:W3CDTF">2024-01-27T23:08:00Z</dcterms:modified>
</cp:coreProperties>
</file>